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 （单位名称</w:t>
      </w:r>
      <w:r>
        <w:t xml:space="preserve">辽宁华为项目管理咨询有限公司</w:t>
      </w:r>
      <w:r>
        <w:rPr>
          <w:rFonts w:ascii="SimSun" w:hAnsi="SimSun" w:eastAsia="SimSun" w:cs="SimSun"/>
          <w:color w:val="000000"/>
          <w:sz w:val="21"/>
        </w:rPr>
        <w:t xml:space="preserve">） 的 （项目名称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</w:rPr>
        <w:t xml:space="preserve">） 采购活动，提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 企业名称（盖章）：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3951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2025-02-16T02:21:51Z</dcterms:created>
  <dcterms:modified xsi:type="dcterms:W3CDTF">2025-02-17T02:21:45Z</dcterms:modified>
</cp:coreProperties>
</file>