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-346472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0689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26.25pt;mso-position-horizontal:absolute;mso-position-vertical-relative:text;margin-top:-27.28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技术规格响应/偏离表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sdt>
        <w:sdtPr>
          <w:alias w:val="单位公章_1"/>
          <w15:appearance w15:val="boundingBox"/>
          <w:placeholder>
            <w:docPart w:val="0c3f8d8548bf418b9bf43a43d0db6320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JC2024-WⅡ-41-01包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1059"/>
        <w:gridCol w:w="1059"/>
        <w:gridCol w:w="1209"/>
        <w:gridCol w:w="1284"/>
        <w:gridCol w:w="1089"/>
        <w:gridCol w:w="10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1519125</wp:posOffset>
                </wp:positionH>
                <wp:positionV relativeFrom="paragraph">
                  <wp:posOffset>284936</wp:posOffset>
                </wp:positionV>
                <wp:extent cx="821190" cy="39719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4320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21189" cy="397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19.62pt;mso-position-horizontal:absolute;mso-position-vertical-relative:text;margin-top:22.44pt;mso-position-vertical:absolute;width:64.66pt;height:31.27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c3f8d8548bf418b9bf43a43d0db63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5</cp:revision>
  <dcterms:created xsi:type="dcterms:W3CDTF">2024-10-15T06:36:22Z</dcterms:created>
  <dcterms:modified xsi:type="dcterms:W3CDTF">2024-10-27T08:59:02Z</dcterms:modified>
</cp:coreProperties>
</file>