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2"/>
        </w:tabs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Sun" w:hAnsi="SimSun" w:eastAsia="SimSun" w:cs="SimSun"/>
          <w:color w:val="000000"/>
          <w:sz w:val="44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Sun" w:hAnsi="SimSun" w:eastAsia="SimSun" w:cs="SimSun"/>
          <w:color w:val="000000"/>
          <w:sz w:val="44"/>
        </w:rPr>
        <w:t xml:space="preserve">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中国石油天然气股份有限公司辽河油田分公司（冷家油田开发公司）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二区内涝井场围堰加高及道路维修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的招标文件，我单位经研究上述项目招标文件的投标须知、技术规范等有关文件后，我方按上述技术规范和要求条件承包上述项目，我方同意执行招标文件第七章报价要求的规定，愿按照计价原则和计价依据，在此基础上，下浮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%的投标价格报价。投标保证金：人民币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90 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合同签订之日起至2024年12月31日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130541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1157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048;o:allowoverlap:true;o:allowincell:true;mso-position-horizontal-relative:text;margin-left:224.25pt;mso-position-horizontal:absolute;mso-position-vertical-relative:text;margin-top:10.28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 </w:t>
      </w:r>
      <w:r>
        <w:t xml:space="preserve">大洼区洁冷土建工程中心</w: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   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<wp:simplePos x="0" y="0"/>
                <wp:positionH relativeFrom="column">
                  <wp:posOffset>4054815</wp:posOffset>
                </wp:positionH>
                <wp:positionV relativeFrom="paragraph">
                  <wp:posOffset>0</wp:posOffset>
                </wp:positionV>
                <wp:extent cx="952161" cy="415403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4480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952160" cy="4154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5120;o:allowoverlap:true;o:allowincell:true;mso-position-horizontal-relative:text;margin-left:319.28pt;mso-position-horizontal:absolute;mso-position-vertical-relative:text;margin-top:0.00pt;mso-position-vertical:absolute;width:74.97pt;height:32.71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</w:rPr>
        <w:t xml:space="preserve">2024年10月17日</w: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4</cp:revision>
  <dcterms:created xsi:type="dcterms:W3CDTF">2024-10-16T08:03:21Z</dcterms:created>
  <dcterms:modified xsi:type="dcterms:W3CDTF">2024-10-18T06:56:32Z</dcterms:modified>
</cp:coreProperties>
</file>