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4472c4"/>
          <w:sz w:val="21"/>
        </w:rPr>
        <w:t xml:space="preserve">我公司承诺完全响应供货要求内容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供货要求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一、项目概况及总体要求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2.1招标范围：本方案拟采购产品为48大类压裂车配件，共计5个物料329项物资，均为二级物资，按照长城钻探压裂公司的市场需求，两年预计年采购额约4150万元（含税，税率13%）。具体详见采购物资明细表。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2.2标包划分：不分标包。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2.3实施或交货地点：本集采项目拟采购物资不分区域或到货地点采购。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2.4交货期或供货周期：中标人接到订货通知后，7天内送货到指定地点。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2.5执行标准及技术要求：执行SY/T 5211-2016《石油天然气钻采设备 压裂成套装备》标准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二、材料/设备需求一览表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材料/设备需求一览表及最高投标限价同附件：《采购物资明细表》。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三、质量要求/技术性能指标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1.执行质量标准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执行SY/T 5211-2016《石油天然气钻采设备 压裂成套装备》标准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2.技术要求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执行SY/T 5211-2016《石油天然气钻采设备 压裂成套装备》标准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