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0"/>
        </w:rPr>
        <w:t xml:space="preserve">投标人告知承诺函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r>
        <w:rPr>
          <w:rFonts w:ascii="宋体" w:hAnsi="宋体" w:eastAsia="宋体" w:cs="宋体"/>
        </w:rPr>
        <w:t xml:space="preserve">辽河石油勘探局有限公司物资分公司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2024年二级物资集中采购41大类焊接材料（JC2024-WⅡ-41-01包）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552450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819581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9.50pt;mso-position-horizontal:absolute;mso-position-vertical-relative:text;margin-top:43.50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1966687</wp:posOffset>
                </wp:positionH>
                <wp:positionV relativeFrom="paragraph">
                  <wp:posOffset>114812</wp:posOffset>
                </wp:positionV>
                <wp:extent cx="987765" cy="66074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927984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987764" cy="660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54.86pt;mso-position-horizontal:absolute;mso-position-vertical-relative:text;margin-top:9.04pt;mso-position-vertical:absolute;width:77.78pt;height:52.0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/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2024年10月12日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张雷</cp:lastModifiedBy>
  <cp:revision>3</cp:revision>
  <dcterms:modified xsi:type="dcterms:W3CDTF">2024-10-12T06:26:55Z</dcterms:modified>
</cp:coreProperties>
</file>