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失信分以开标当日中国石油招标投标网发布的失信行为信息为准，由评标委员会在评审时进行网络查询，我公司无失信行为。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