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我公司资产负债率为17.69%</w:t>
      </w:r>
    </w:p>
    <w:p>
      <w:pPr>
        <w:pStyle w:val="Heading6"/>
        <w:spacing w:line="360" w:lineRule="auto" w:before="0" w:after="0"/>
        <w:ind w:firstLine="420"/>
      </w:pPr>
      <w:r>
        <w:t>2023年度审计报告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6b4b480-b498-4f5a-809f-416174aa9f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