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b/>
          <w:color w:val="000000"/>
          <w:sz w:val="21"/>
        </w:rPr>
        <w:t xml:space="preserve">我公司承诺不存在下列情形：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Microsoft YaHei" w:hAnsi="Microsoft YaHei" w:eastAsia="Microsoft YaHei" w:cs="Microsoft YaHei"/>
          <w:color w:val="000000"/>
          <w:sz w:val="24"/>
        </w:rPr>
        <w:t xml:space="preserve">(1)投标人不得相互串通投标，不得排挤其他投标人的公平竞争，损害招标人或者其他投标人的合法权益。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Microsoft YaHei" w:hAnsi="Microsoft YaHei" w:eastAsia="Microsoft YaHei" w:cs="Microsoft YaHei"/>
          <w:color w:val="000000"/>
          <w:sz w:val="24"/>
        </w:rPr>
        <w:t xml:space="preserve">(2)投标人不得与招标人串通投标，损害国家利益、社会公共利益、集团公司利益或者他人的合法权益。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Microsoft YaHei" w:hAnsi="Microsoft YaHei" w:eastAsia="Microsoft YaHei" w:cs="Microsoft YaHei"/>
          <w:color w:val="000000"/>
          <w:sz w:val="24"/>
        </w:rPr>
        <w:t xml:space="preserve">(3)投标人不得以向招标人或者评标委员会成员等对招标有影响力的单位和个人提供财务或者其他好处等不正当手段谋取中标。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Microsoft YaHei" w:hAnsi="Microsoft YaHei" w:eastAsia="Microsoft YaHei" w:cs="Microsoft YaHei"/>
          <w:color w:val="000000"/>
          <w:sz w:val="24"/>
        </w:rPr>
        <w:t xml:space="preserve">(4)投标人不得以可能影响合同履行的异常低价竞标，也不得以他人名义投标、允许他人以本人名义投标或者以其他方式弄虚作假投标。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Microsoft YaHei" w:hAnsi="Microsoft YaHei" w:eastAsia="Microsoft YaHei" w:cs="Microsoft YaHei"/>
          <w:color w:val="000000"/>
          <w:sz w:val="24"/>
        </w:rPr>
        <w:t xml:space="preserve">（5）评标时评标委员会查询“中国裁判文书网”网站（http://wenshu.court.gov.cn），投标人或其法定代表人（单位负责人）在投标截止时间前3年内有行贿犯罪的（以判决生效日为准）。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（1）与招标人存在利害关系且可能影响招标公正性；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（2）与本招标项目的其他投标人为同一个单位负责人；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（3）与本招标项目的其他投标人存在控股、管理关系；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（4）与本招标项目其他投标人代理同一个制造商同一品牌同一型号的设备投标；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（5）为本招标项目提供过设计、编制技术规范和其他文件的咨询服务；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（6）为本工程项目的监理人，或者与本工程项目的监理人存在隶属关系或者其他利害关系；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（7）为本招标项目的代建人；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（8）为本招标项目的招标代理机构；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（9）与本工程项目的监理人或本招标项目的代建人或招标代理机构同为一个法定代表人；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（10）与本工程项目的监理人或本招标项目的代建人或招标代理机构存在控股或参股关系；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（11）被依法暂停或者取消投标资格；</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（12）被责令停产停业，暂扣或者吊销许可证，暂扣或者吊销执照；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（13）进入清算程序，或被宣告破产，或其他丧失履约能力的情形；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（14）在近三年内发生重大产品质量问题（以相关行业主管部门的行政处罚决定或司法机关出具的有关法律文书为准）；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（15）被工商行政管理机关在全国企业信用信息公示系统中列入严重违法失信企业名单；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（16）被最高人民法院在</w:t>
      </w:r>
      <w:r>
        <w:rPr>
          <w:rFonts w:ascii="Times New Roman" w:hAnsi="Times New Roman" w:eastAsia="Times New Roman" w:cs="Times New Roman"/>
          <w:color w:val="000000"/>
          <w:sz w:val="21"/>
        </w:rPr>
        <w:t xml:space="preserve">“</w:t>
      </w:r>
      <w:r>
        <w:rPr>
          <w:rFonts w:ascii="SimSun" w:hAnsi="SimSun" w:eastAsia="SimSun" w:cs="SimSun"/>
          <w:color w:val="000000"/>
          <w:sz w:val="21"/>
        </w:rPr>
        <w:t xml:space="preserve">信用中国</w:t>
      </w:r>
      <w:r>
        <w:rPr>
          <w:rFonts w:ascii="Times New Roman" w:hAnsi="Times New Roman" w:eastAsia="Times New Roman" w:cs="Times New Roman"/>
          <w:color w:val="000000"/>
          <w:sz w:val="21"/>
        </w:rPr>
        <w:t xml:space="preserve">”</w:t>
      </w:r>
      <w:r>
        <w:rPr>
          <w:rFonts w:ascii="SimSun" w:hAnsi="SimSun" w:eastAsia="SimSun" w:cs="SimSun"/>
          <w:color w:val="000000"/>
          <w:sz w:val="21"/>
        </w:rPr>
        <w:t xml:space="preserve">网站（www.creditchina.gov.cn）或各级信用信息共享平台中列入失信被执行人名单；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（17）在近三年内投标人或其法定代表人（单位负责人）有行贿犯罪行为的（以检察机关职务犯罪预防部门出具的查询结果为准）；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（18）法律法规或投标人须知前附表规定的其他情形。</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