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未被列入失信被执行人</w:t>
      </w:r>
    </w:p>
    <w:p>
      <w:pPr>
        <w:pStyle w:val="Heading5"/>
        <w:spacing w:line="360" w:lineRule="auto" w:before="0" w:after="0"/>
        <w:ind w:firstLine="420"/>
      </w:pPr>
      <w:r>
        <w:t>投标人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029744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d5be01be-f5db-4648-ac2d-f7c14e71fa1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02974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254232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1e43aaa-b455-4766-a19d-4b9e4e4fc286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2542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5"/>
        <w:spacing w:line="360" w:lineRule="auto" w:before="0" w:after="0"/>
        <w:ind w:firstLine="420"/>
      </w:pPr>
      <w:r>
        <w:t>法定代表人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7187951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285b115-b376-4d85-87c3-0790dbda635f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18795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4"/>
        <w:spacing w:line="360" w:lineRule="auto" w:before="0" w:after="0"/>
        <w:ind w:firstLine="420"/>
      </w:pPr>
      <w:r>
        <w:t>未列入重大税收违法案件当事人名单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49994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17bd877-41f2-47dd-bd05-5cf53461b68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49994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