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6"/>
        <w:gridCol w:w="906"/>
        <w:gridCol w:w="490"/>
        <w:gridCol w:w="668"/>
        <w:gridCol w:w="376"/>
        <w:gridCol w:w="791"/>
        <w:gridCol w:w="372"/>
        <w:gridCol w:w="923"/>
        <w:gridCol w:w="816"/>
        <w:gridCol w:w="718"/>
        <w:gridCol w:w="752"/>
        <w:gridCol w:w="814"/>
        <w:gridCol w:w="843"/>
        <w:gridCol w:w="620"/>
      </w:tblGrid>
      <w:tr>
        <w:trPr>
          <w:trHeight w:val="20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计价单位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最高投标限价单价（不含税）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税率（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 xml:space="preserve">%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最高投标限价单价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最高投标限价预估总价（不含税）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最高投标限价预估总价（含税）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投标报价单价（不含税）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投标报价单价（含税）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投标报价行小计（不含税）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投标报价行小计（含税）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气密封检测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元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948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1004.88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4950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4692600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4974156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919.56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974.7336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4551822.00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4824931.32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无压痕套管上扣服务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元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508.8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194400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206064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465.60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493.536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188568.00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199882.08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b/>
                <w:color w:val="000000"/>
                <w:sz w:val="22"/>
              </w:rPr>
              <w:t xml:space="preserve">投标总报价（元）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4740390.00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  <w:u w:val="none"/>
              </w:rPr>
              <w:t xml:space="preserve">5024813.40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