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r>
        <w:t xml:space="preserve">辽河石油勘探局有限公司物资分公司</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r>
      <w:r>
        <w:t xml:space="preserve">2024年二级物资集中采购54大类内燃机及拖拉机配件（JC2024-WⅡ-54-01包）</w:t>
      </w:r>
      <w:r>
        <w:rPr>
          <w:rFonts w:ascii="SimSun" w:hAnsi="SimSun" w:eastAsia="SimSun" w:cs="SimSun"/>
          <w:color w:val="000000"/>
          <w:spacing w:val="6"/>
          <w:sz w:val="21"/>
        </w:rPr>
        <w:t xml:space="preserve">）项目招标采购产品及服务的（</w:t>
      </w:r>
      <w:r>
        <w:t xml:space="preserve">LHZB1-2024-WJ212</w:t>
      </w:r>
      <w:r>
        <w:rPr>
          <w:rFonts w:ascii="SimSun" w:hAnsi="SimSun" w:eastAsia="SimSun" w:cs="SimSun"/>
          <w:color w:val="000000"/>
          <w:spacing w:val="6"/>
          <w:sz w:val="21"/>
        </w:rPr>
        <w:t xml:space="preserve">）招标文件，授权人代表投标人（</w:t>
      </w:r>
      <w:r>
        <w:t xml:space="preserve">锦州市凌河区威远汽车配件供应站</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r>
        <w:t xml:space="preserve">2946</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r>
        <w:t xml:space="preserve">2</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t xml:space="preserve">按指定时间（分批）送达</w: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t xml:space="preserve">辽河石油勘探局有限公司物资分公司各储运公司、区域物资供应中心或用户指定地点</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r>
        <w:t xml:space="preserve">锦州市古塔区天安里102-1号</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w:t>
      </w:r>
      <w:r>
        <w:t xml:space="preserve">0416-2399992</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r>
        <w:t xml:space="preserve">15204131111</w:t>
      </w:r>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r>
        <w:t xml:space="preserve">wieyuan@163.com</w:t>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w:t>
      </w:r>
      <w:sdt>
        <w:sdtPr>
          <w15:appearance w15:val="boundingBox"/>
          <w:placeholder>
            <w:docPart w:val="DefaultPlaceholder_TEXT"/>
          </w:placeholder>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r>
      <w:r>
        <w:t xml:space="preserve">锦州市凌河区威远汽车配件供应站</w:t>
      </w:r>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w:t>
      </w:r>
      <w:r>
        <w:t xml:space="preserve">锦州市凌河区威远汽车配件供应站</w:t>
      </w:r>
      <w:r>
        <w:rPr>
          <w:rFonts w:ascii="Times New Roman" w:hAnsi="Times New Roman" w:eastAsia="Times New Roman" w:cs="Times New Roman"/>
          <w:color w:val="000000"/>
          <w:spacing w:val="6"/>
          <w:sz w:val="21"/>
        </w:rPr>
        <w:t xml:space="preserve">_</w:t>
      </w:r>
      <w:r/>
    </w:p>
    <w:p>
      <w:pPr>
        <w:pBdr/>
        <w:spacing/>
        <w:ind/>
        <w:rPr/>
      </w:pPr>
      <w:r>
        <w:rPr>
          <w:rFonts w:ascii="SimSun" w:hAnsi="SimSun" w:eastAsia="SimSun" w:cs="SimSun"/>
          <w:color w:val="000000"/>
          <w:spacing w:val="6"/>
          <w:sz w:val="21"/>
        </w:rPr>
        <w:t xml:space="preserve">    日期__</w:t>
      </w:r>
      <w:r>
        <w:t xml:space="preserve">2024年08月25日</w:t>
      </w:r>
      <w:r>
        <w:rPr>
          <w:rFonts w:ascii="SimSun" w:hAnsi="SimSun" w:eastAsia="SimSun" w:cs="SimSun"/>
          <w:color w:val="000000"/>
          <w:spacing w:val="6"/>
          <w:sz w:val="21"/>
        </w:rPr>
        <w:t xml:space="preserve">__</w:t>
      </w:r>
      <w:r>
        <w:rPr>
          <w:rFonts w:ascii="SimSun" w:hAnsi="SimSun" w:eastAsia="SimSun" w:cs="SimSun"/>
          <w:color w:val="000000"/>
          <w:spacing w:val="6"/>
          <w:sz w:val="21"/>
        </w:rPr>
        <w:t xml:space="preserve">_</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6</cp:revision>
  <dcterms:created xsi:type="dcterms:W3CDTF">2024-06-14T03:15:13Z</dcterms:created>
  <dcterms:modified xsi:type="dcterms:W3CDTF">2024-08-27T07:29:41Z</dcterms:modified>
</cp:coreProperties>
</file>