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4"/>
        <w:spacing w:line="360" w:lineRule="auto" w:before="0" w:after="0"/>
        <w:ind w:firstLine="420"/>
      </w:pPr>
      <w:r>
        <w:t>失信扣分</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致：</w:t>
      </w:r>
      <w:r>
        <w:rPr>
          <w:rFonts w:ascii="SimSun" w:hAnsi="SimSun" w:eastAsia="SimSun" w:cs="SimSun"/>
          <w:b/>
          <w:color w:val="000000"/>
          <w:spacing w:val="6"/>
          <w:sz w:val="21"/>
        </w:rPr>
        <w:t xml:space="preserve">辽河油田建设有限公司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我公司参与</w:t>
      </w:r>
      <w:r>
        <w:rPr>
          <w:rFonts w:ascii="SimSun" w:hAnsi="SimSun" w:eastAsia="SimSun" w:cs="SimSun"/>
          <w:b/>
          <w:color w:val="000000"/>
          <w:spacing w:val="6"/>
          <w:sz w:val="21"/>
        </w:rPr>
        <w:t xml:space="preserve">（辽河油田建设有限公司生产值班车(新能源纯电)运输服务（三次））</w:t>
      </w:r>
      <w:r>
        <w:rPr>
          <w:rFonts w:ascii="SimSun" w:hAnsi="SimSun" w:eastAsia="SimSun" w:cs="SimSun"/>
          <w:color w:val="000000"/>
          <w:spacing w:val="6"/>
          <w:sz w:val="21"/>
        </w:rPr>
        <w:t xml:space="preserve">项目,为了更好的参与此次招标项目，特做出以下承诺：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pacing w:val="6"/>
          <w:sz w:val="21"/>
        </w:rPr>
        <w:t xml:space="preserve">我公司无任何失信扣分行为。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SimSun" w:hAnsi="SimSun" w:eastAsia="SimSun" w:cs="SimSun"/>
          <w:color w:val="000000"/>
          <w:sz w:val="21"/>
          <w:szCs w:val="21"/>
          <w:highlight w:val="none"/>
        </w:rPr>
      </w:pPr>
      <w:r>
        <w:rPr>
          <w:rFonts w:ascii="SimSun" w:hAnsi="SimSun" w:eastAsia="SimSun" w:cs="SimSun"/>
          <w:color w:val="000000"/>
          <w:sz w:val="21"/>
        </w:rPr>
        <w:t xml:space="preserve">投标人累计失信分值达到下述①～④项标准之一的，将被否决投标。①投标人失信分累计达到</w:t>
      </w:r>
      <w:r>
        <w:rPr>
          <w:rFonts w:ascii="等线" w:hAnsi="等线" w:eastAsia="等线" w:cs="等线"/>
          <w:color w:val="000000"/>
          <w:sz w:val="21"/>
        </w:rPr>
        <w:t xml:space="preserve">8</w:t>
      </w:r>
      <w:r>
        <w:rPr>
          <w:rFonts w:ascii="SimSun" w:hAnsi="SimSun" w:eastAsia="SimSun" w:cs="SimSun"/>
          <w:color w:val="000000"/>
          <w:sz w:val="21"/>
        </w:rPr>
        <w:t xml:space="preserve">分，且最后一次失信开始时间距开标当日不足半年；②投标人失信分累计达到</w:t>
      </w:r>
      <w:r>
        <w:rPr>
          <w:rFonts w:ascii="等线" w:hAnsi="等线" w:eastAsia="等线" w:cs="等线"/>
          <w:color w:val="000000"/>
          <w:sz w:val="21"/>
        </w:rPr>
        <w:t xml:space="preserve">9</w:t>
      </w:r>
      <w:r>
        <w:rPr>
          <w:rFonts w:ascii="SimSun" w:hAnsi="SimSun" w:eastAsia="SimSun" w:cs="SimSun"/>
          <w:color w:val="000000"/>
          <w:sz w:val="21"/>
        </w:rPr>
        <w:t xml:space="preserve">分，且最后一次失信开始时间距开标当日不足一年；③投标人失信分累计达到</w:t>
      </w:r>
      <w:r>
        <w:rPr>
          <w:rFonts w:ascii="等线" w:hAnsi="等线" w:eastAsia="等线" w:cs="等线"/>
          <w:color w:val="000000"/>
          <w:sz w:val="21"/>
        </w:rPr>
        <w:t xml:space="preserve">10</w:t>
      </w:r>
      <w:r>
        <w:rPr>
          <w:rFonts w:ascii="SimSun" w:hAnsi="SimSun" w:eastAsia="SimSun" w:cs="SimSun"/>
          <w:color w:val="000000"/>
          <w:sz w:val="21"/>
        </w:rPr>
        <w:t xml:space="preserve">分，且最后一次失信开始时间距开标当日不足二年；④投标人失信分累计达到</w:t>
      </w:r>
      <w:r>
        <w:rPr>
          <w:rFonts w:ascii="等线" w:hAnsi="等线" w:eastAsia="等线" w:cs="等线"/>
          <w:color w:val="000000"/>
          <w:sz w:val="21"/>
        </w:rPr>
        <w:t xml:space="preserve">10.5</w:t>
      </w:r>
      <w:r>
        <w:rPr>
          <w:rFonts w:ascii="SimSun" w:hAnsi="SimSun" w:eastAsia="SimSun" w:cs="SimSun"/>
          <w:color w:val="000000"/>
          <w:sz w:val="21"/>
        </w:rPr>
        <w:t xml:space="preserve">分及以上，且最后一次失信开始时间距开标当日不足三年。投标人失信分以开标当日中国石油招标投标网发布的失信行为信息为准，由评标委员会在评审时进行网络查询，如发现投标人有以上失信行为的应截图保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等线" w:hAnsi="等线" w:eastAsia="等线" w:cs="等线"/>
          <w:sz w:val="21"/>
          <w:szCs w:val="21"/>
        </w:rPr>
      </w:pPr>
      <w:r>
        <w:rPr>
          <w:rFonts w:ascii="SimSun" w:hAnsi="SimSun" w:eastAsia="SimSun" w:cs="SimSun"/>
          <w:color w:val="000000"/>
          <w:sz w:val="21"/>
          <w:highlight w:val="none"/>
        </w:rPr>
      </w:r>
      <w:r>
        <mc:AlternateContent>
          <mc:Choice Requires="wpg">
            <w:drawing>
              <wp:anchor distT="0" distB="0" distL="115200" distR="115200" simplePos="0" relativeHeight="6144" behindDoc="1" locked="0" layoutInCell="1" allowOverlap="1">
                <wp:simplePos x="0" y="0"/>
                <wp:positionH relativeFrom="column">
                  <wp:posOffset>2876550</wp:posOffset>
                </wp:positionH>
                <wp:positionV relativeFrom="paragraph">
                  <wp:posOffset>3533775</wp:posOffset>
                </wp:positionV>
                <wp:extent cx="1514475" cy="1514475"/>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a:off x="0" y="0"/>
                          <a:ext cx="1514475" cy="151447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6144;o:allowoverlap:true;o:allowincell:true;mso-position-horizontal-relative:text;margin-left:226.50pt;mso-position-horizontal:absolute;mso-position-vertical-relative:text;margin-top:278.25pt;mso-position-vertical:absolute;width:119.25pt;height:119.25pt;mso-wrap-distance-left:9.07pt;mso-wrap-distance-top:0.00pt;mso-wrap-distance-right:9.07pt;mso-wrap-distance-bottom:0.00pt;z-index:1;" stroked="false">
                <v:imagedata r:id="rId9" o:title=""/>
                <o:lock v:ext="edit" rotation="t"/>
              </v:shape>
            </w:pict>
          </mc:Fallback>
        </mc:AlternateContent>
      </w:r>
      <w:r>
        <w:rPr>
          <w:rFonts w:ascii="SimSun" w:hAnsi="SimSun" w:eastAsia="SimSun" w:cs="SimSun"/>
          <w:color w:val="000000"/>
          <w:sz w:val="21"/>
          <w:highlight w:val="none"/>
        </w:rPr>
      </w:r>
      <w:r>
        <mc:AlternateContent>
          <mc:Choice Requires="wpg">
            <w:drawing>
              <wp:inline distT="0" distB="0" distL="0" distR="0">
                <wp:extent cx="5219700" cy="35337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a:off x="0" y="0"/>
                          <a:ext cx="5219699" cy="353377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1.00pt;height:278.25pt;mso-wrap-distance-left:0.00pt;mso-wrap-distance-top:0.00pt;mso-wrap-distance-right:0.00pt;mso-wrap-distance-bottom:0.00pt;z-index:1;" stroked="false">
                <v:imagedata r:id="rId10" o:title=""/>
                <o:lock v:ext="edit" rotation="t"/>
              </v:shape>
            </w:pict>
          </mc:Fallback>
        </mc:AlternateContent>
      </w:r>
      <w:r>
        <w:rPr>
          <w:rFonts w:ascii="SimSun" w:hAnsi="SimSun" w:eastAsia="SimSun" w:cs="SimSun"/>
          <w:color w:val="000000"/>
          <w:sz w:val="21"/>
          <w:highlight w:val="none"/>
        </w:rPr>
      </w:r>
      <w:r>
        <w:rPr>
          <w:rFonts w:ascii="SimSun" w:hAnsi="SimSun" w:eastAsia="SimSun" w:cs="SimSun"/>
          <w:color w:val="000000"/>
          <w:sz w:val="21"/>
          <w:highlight w:val="none"/>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特此承诺。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r>
      <w:r>
        <mc:AlternateContent>
          <mc:Choice Requires="wpg">
            <w:drawing>
              <wp:anchor distT="0" distB="0" distL="115200" distR="115200" simplePos="0" relativeHeight="8192" behindDoc="1" locked="0" layoutInCell="1" allowOverlap="1">
                <wp:simplePos x="0" y="0"/>
                <wp:positionH relativeFrom="column">
                  <wp:posOffset>4058994</wp:posOffset>
                </wp:positionH>
                <wp:positionV relativeFrom="paragraph">
                  <wp:posOffset>173291</wp:posOffset>
                </wp:positionV>
                <wp:extent cx="664062" cy="407492"/>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1"/>
                        <a:stretch/>
                      </pic:blipFill>
                      <pic:spPr bwMode="auto">
                        <a:xfrm flipH="0" flipV="0">
                          <a:off x="0" y="0"/>
                          <a:ext cx="664061" cy="40749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8192;o:allowoverlap:true;o:allowincell:true;mso-position-horizontal-relative:text;margin-left:319.61pt;mso-position-horizontal:absolute;mso-position-vertical-relative:text;margin-top:13.64pt;mso-position-vertical:absolute;width:52.29pt;height:32.09pt;mso-wrap-distance-left:9.07pt;mso-wrap-distance-top:0.00pt;mso-wrap-distance-right:9.07pt;mso-wrap-distance-bottom:0.00pt;z-index:1;" stroked="false">
                <v:imagedata r:id="rId11" o:title=""/>
                <o:lock v:ext="edit" rotation="t"/>
              </v:shape>
            </w:pict>
          </mc:Fallback>
        </mc:AlternateContent>
      </w:r>
      <w:r>
        <w:rPr>
          <w:rFonts w:ascii="SimSun" w:hAnsi="SimSun" w:eastAsia="SimSun" w:cs="SimSun"/>
          <w:color w:val="000000"/>
          <w:sz w:val="21"/>
        </w:rPr>
        <w:t xml:space="preserve">承诺单位：  </w:t>
      </w:r>
      <w:r/>
      <w:r>
        <w:rPr>
          <w:rFonts w:ascii="SimSun" w:hAnsi="SimSun" w:eastAsia="SimSun" w:cs="SimSun"/>
          <w:color w:val="000000"/>
          <w:sz w:val="21"/>
        </w:rPr>
        <w:t xml:space="preserve">盘锦昊驰运输有限公司   （盖章）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
        <w:rPr>
          <w:rFonts w:ascii="SimSun" w:hAnsi="SimSun" w:eastAsia="SimSun" w:cs="SimSun"/>
          <w:color w:val="000000"/>
          <w:sz w:val="21"/>
        </w:rPr>
        <w:t xml:space="preserve">法定代表人或授权委托人：          </w:t>
      </w:r>
      <w:r/>
      <w:r>
        <w:rPr>
          <w:rFonts w:ascii="SimSun" w:hAnsi="SimSun" w:eastAsia="SimSun" w:cs="SimSun"/>
          <w:color w:val="000000"/>
          <w:sz w:val="21"/>
        </w:rPr>
        <w:t xml:space="preserve">  （签字或盖章）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日期：2024年7月29日</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