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法律纠纷情况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10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年中是否涉及任何诉讼案件？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 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2383154</wp:posOffset>
                </wp:positionH>
                <wp:positionV relativeFrom="paragraph">
                  <wp:posOffset>98933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74050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87.65pt;mso-position-horizontal:absolute;mso-position-vertical-relative:text;margin-top:7.79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721958</wp:posOffset>
                </wp:positionH>
                <wp:positionV relativeFrom="paragraph">
                  <wp:posOffset>350080</wp:posOffset>
                </wp:positionV>
                <wp:extent cx="850256" cy="42512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62884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850255" cy="425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56.85pt;mso-position-horizontal:absolute;mso-position-vertical-relative:text;margin-top:27.57pt;mso-position-vertical:absolute;width:66.95pt;height:33.47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</w:rPr>
        <w:t xml:space="preserve">张莹莹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</w:rPr>
        <w:t xml:space="preserve">业务员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/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</w:rPr>
        <w:t xml:space="preserve">常州市武进区洛阳镇创新路21号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18604961390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18604961390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</w:rPr>
        <w:t xml:space="preserve">213000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2024-06-14T11:34:02Z</dcterms:created>
  <dcterms:modified xsi:type="dcterms:W3CDTF">2024-07-16T05:02:02Z</dcterms:modified>
</cp:coreProperties>
</file>