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989964</wp:posOffset>
                </wp:positionH>
                <wp:positionV relativeFrom="paragraph">
                  <wp:posOffset>0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585311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77.95pt;mso-position-horizontal:absolute;mso-position-vertical-relative:text;margin-top:0.00pt;mso-position-vertical:absolute;width:119.06pt;height:117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商务条款响应/偏离表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  <w:t xml:space="preserve">江苏欧辉照明灯具有限公司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招标编号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.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  <w:t xml:space="preserve">LHZB1-2024-WJ177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包号：</w:t>
      </w:r>
      <w:r>
        <w:rPr>
          <w:rFonts w:ascii="宋体" w:hAnsi="宋体" w:eastAsia="宋体" w:cs="宋体"/>
        </w:rPr>
        <w:t xml:space="preserve">JC2024-WⅡ-34-01包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招标文件条目号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招标文件的商务条款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投标文件的商务条款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说明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</w:r>
            <w:r>
              <w:rPr>
                <w:rFonts w:ascii="宋体" w:hAnsi="宋体" w:eastAsia="宋体" w:cs="宋体"/>
              </w:rPr>
              <w:t xml:space="preserve">全部响应无偏离</w:t>
            </w: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/>
      <w:r>
        <w:rPr>
          <w:rFonts w:ascii="宋体" w:hAnsi="宋体" w:eastAsia="宋体" w:cs="宋体"/>
          <w:color w:val="000000"/>
          <w:spacing w:val="6"/>
          <w:sz w:val="32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投标人代表签字：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 ______________</w:t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2024-06-14T11:05:57Z</dcterms:created>
  <dcterms:modified xsi:type="dcterms:W3CDTF">2024-07-16T04:56:16Z</dcterms:modified>
</cp:coreProperties>
</file>