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法律纠纷情况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10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年中是否涉及任何诉讼案件？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 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1386554</wp:posOffset>
                </wp:positionH>
                <wp:positionV relativeFrom="paragraph">
                  <wp:posOffset>51308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74898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09.18pt;mso-position-horizontal:absolute;mso-position-vertical-relative:text;margin-top:4.04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</w:rPr>
        <w:t xml:space="preserve">盘锦互信实业有限公司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767429</wp:posOffset>
                </wp:positionH>
                <wp:positionV relativeFrom="paragraph">
                  <wp:posOffset>222758</wp:posOffset>
                </wp:positionV>
                <wp:extent cx="1238250" cy="4953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0254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60.43pt;mso-position-horizontal:absolute;mso-position-vertical-relative:text;margin-top:17.54pt;mso-position-vertical:absolute;width:97.50pt;height:39.00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</w:rPr>
        <w:t xml:space="preserve">胡玉梅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</w:rPr>
        <w:t xml:space="preserve">业务经理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/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</w:rPr>
        <w:t xml:space="preserve">辽宁省盘锦市兴隆台区曙光地区鹤翔小区商网0005栋06号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15714276457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0427-3100088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</w:rPr>
        <w:t xml:space="preserve">124010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2024-06-14T11:34:02Z</dcterms:created>
  <dcterms:modified xsi:type="dcterms:W3CDTF">2024-07-16T05:29:10Z</dcterms:modified>
</cp:coreProperties>
</file>