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盘锦巨盛元商贸有限公司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LHZB1-2024-WJ151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JC2024-WⅡ-09-03包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t xml:space="preserve">全部响应无偏离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428875" cy="25527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431109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428875" cy="25526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91.25pt;height:201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4</cp:revision>
  <dcterms:created xsi:type="dcterms:W3CDTF">2024-06-14T11:05:06Z</dcterms:created>
  <dcterms:modified xsi:type="dcterms:W3CDTF">2024-07-08T10:22:17Z</dcterms:modified>
</cp:coreProperties>
</file>