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glossary/fontTable.xml" ContentType="application/vnd.openxmlformats-officedocument.wordprocessingml.fontTable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document.xml" ContentType="application/vnd.openxmlformats-officedocument.wordprocessingml.document.glossary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/>
        <w:spacing/>
        <w:ind w:right="105"/>
        <w:jc w:val="center"/>
        <w:rPr>
          <w:rFonts w:ascii="仿宋_GB2312" w:hAnsi="仿宋_GB2312" w:eastAsia="仿宋_GB2312" w:cs="仿宋_GB2312"/>
          <w:b/>
          <w:bCs/>
          <w:sz w:val="32"/>
          <w:szCs w:val="32"/>
        </w:rPr>
      </w:pPr>
      <w:r/>
      <w:bookmarkStart w:id="128" w:name="_Toc8488_WPSOffice_Level2"/>
      <w:r/>
      <w:bookmarkStart w:id="129" w:name="_Toc4431_WPSOffice_Level2"/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商务条款偏离表</w:t>
      </w:r>
      <w:bookmarkEnd w:id="128"/>
      <w:r/>
      <w:bookmarkEnd w:id="129"/>
      <w:r>
        <w:rPr>
          <w:rFonts w:ascii="仿宋_GB2312" w:hAnsi="仿宋_GB2312" w:eastAsia="仿宋_GB2312" w:cs="仿宋_GB2312"/>
          <w:b/>
          <w:bCs/>
          <w:sz w:val="32"/>
          <w:szCs w:val="32"/>
        </w:rPr>
      </w:r>
      <w:r>
        <w:rPr>
          <w:rFonts w:ascii="仿宋_GB2312" w:hAnsi="仿宋_GB2312" w:eastAsia="仿宋_GB2312" w:cs="仿宋_GB2312"/>
          <w:b/>
          <w:bCs/>
          <w:sz w:val="32"/>
          <w:szCs w:val="32"/>
        </w:rPr>
      </w:r>
    </w:p>
    <w:p>
      <w:pPr>
        <w:pBdr/>
        <w:spacing w:line="360" w:lineRule="auto"/>
        <w:ind w:right="105"/>
        <w:jc w:val="left"/>
        <w:rPr>
          <w:rFonts w:ascii="仿宋_GB2312" w:hAnsi="仿宋_GB2312" w:eastAsia="仿宋_GB2312" w:cs="仿宋_GB2312"/>
          <w:b/>
          <w:bCs/>
          <w:szCs w:val="21"/>
        </w:rPr>
      </w:pPr>
      <w:r>
        <w:rPr>
          <w:rFonts w:hint="eastAsia" w:ascii="仿宋_GB2312" w:hAnsi="仿宋_GB2312" w:eastAsia="仿宋_GB2312" w:cs="仿宋_GB2312"/>
          <w:b/>
          <w:bCs/>
          <w:szCs w:val="21"/>
        </w:rPr>
        <w:t xml:space="preserve">包号：</w:t>
      </w:r>
      <w:sdt>
        <w:sdtPr>
          <w:alias w:val="包号"/>
          <w15:appearance w15:val="boundingBox"/>
          <w:lock w:val="unlocked"/>
          <w:placeholder>
            <w:docPart w:val="3ba44823133a465cb473d985013825d8"/>
          </w:placeholder>
          <w:temporary w:val="true"/>
          <w:tag w:val="包号"/>
          <w:rPr>
            <w:rFonts w:hint="eastAsia" w:ascii="仿宋_GB2312" w:hAnsi="仿宋_GB2312" w:eastAsia="仿宋_GB2312" w:cs="仿宋_GB2312"/>
            <w:b/>
            <w:bCs/>
            <w:szCs w:val="21"/>
          </w:rPr>
        </w:sdtPr>
        <w:sdtContent>
          <w:r>
            <w:rPr>
              <w:rFonts w:hint="eastAsia" w:ascii="仿宋_GB2312" w:hAnsi="仿宋_GB2312" w:eastAsia="仿宋_GB2312" w:cs="仿宋_GB2312"/>
              <w:b/>
              <w:bCs/>
              <w:szCs w:val="21"/>
            </w:rPr>
            <w:t xml:space="preserve"> </w:t>
          </w:r>
          <w:r>
            <w:rPr>
              <w:rFonts w:ascii="仿宋_GB2312" w:hAnsi="仿宋_GB2312" w:eastAsia="仿宋_GB2312" w:cs="仿宋_GB2312"/>
              <w:b/>
              <w:bCs/>
              <w:szCs w:val="21"/>
            </w:rPr>
          </w:r>
        </w:sdtContent>
      </w:sdt>
      <w:r>
        <w:rPr>
          <w:rFonts w:ascii="仿宋_GB2312" w:hAnsi="仿宋_GB2312" w:eastAsia="仿宋_GB2312" w:cs="仿宋_GB2312"/>
          <w:b/>
          <w:bCs/>
          <w:szCs w:val="21"/>
        </w:rPr>
      </w:r>
      <w:r>
        <w:rPr>
          <w:rFonts w:ascii="仿宋_GB2312" w:hAnsi="仿宋_GB2312" w:eastAsia="仿宋_GB2312" w:cs="仿宋_GB2312"/>
          <w:b/>
          <w:bCs/>
          <w:szCs w:val="21"/>
        </w:rPr>
      </w:r>
    </w:p>
    <w:tbl>
      <w:tblPr>
        <w:tblW w:w="8513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00" w:firstRow="0" w:lastRow="0" w:firstColumn="0" w:lastColumn="0" w:noHBand="0" w:noVBand="0"/>
      </w:tblPr>
      <w:tblGrid>
        <w:gridCol w:w="544"/>
        <w:gridCol w:w="3737"/>
        <w:gridCol w:w="2370"/>
        <w:gridCol w:w="926"/>
        <w:gridCol w:w="936"/>
      </w:tblGrid>
      <w:tr>
        <w:trPr>
          <w:jc w:val="center"/>
          <w:trHeight w:val="1053"/>
        </w:trPr>
        <w:tc>
          <w:tcPr>
            <w:tcBorders/>
            <w:tcW w:w="544" w:type="dxa"/>
            <w:vAlign w:val="center"/>
            <w:textDirection w:val="lrTb"/>
            <w:noWrap w:val="false"/>
          </w:tcPr>
          <w:p>
            <w:pPr>
              <w:pBdr/>
              <w:spacing/>
              <w:ind w:right="-48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序号</w:t>
            </w: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</w:p>
        </w:tc>
        <w:tc>
          <w:tcPr>
            <w:tcBorders/>
            <w:tcW w:w="3737" w:type="dxa"/>
            <w:vAlign w:val="center"/>
            <w:textDirection w:val="lrTb"/>
            <w:noWrap w:val="false"/>
          </w:tcPr>
          <w:p>
            <w:pPr>
              <w:pBdr/>
              <w:spacing/>
              <w:ind w:right="-73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招标文件的商务条款</w:t>
            </w: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</w:p>
          <w:p>
            <w:pPr>
              <w:pBdr/>
              <w:spacing/>
              <w:ind w:right="-73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（</w:t>
            </w:r>
            <w:r>
              <w:rPr>
                <w:rFonts w:hint="eastAsia" w:ascii="仿宋_GB2312" w:hAnsi="仿宋_GB2312" w:eastAsia="仿宋_GB2312" w:cs="仿宋_GB2312"/>
                <w:b/>
                <w:sz w:val="18"/>
                <w:szCs w:val="18"/>
              </w:rPr>
              <w:t xml:space="preserve">实质性要求及重要指标用★标注，★标注项不得负偏离，如果负偏离，则投标文件无效。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）</w:t>
            </w: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</w:p>
        </w:tc>
        <w:tc>
          <w:tcPr>
            <w:tcBorders/>
            <w:tcW w:w="2370" w:type="dxa"/>
            <w:vAlign w:val="center"/>
            <w:textDirection w:val="lrTb"/>
            <w:noWrap w:val="false"/>
          </w:tcPr>
          <w:p>
            <w:pPr>
              <w:pBdr/>
              <w:spacing/>
              <w:ind w:right="-107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投标文件响应内容</w:t>
            </w: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</w:p>
        </w:tc>
        <w:tc>
          <w:tcPr>
            <w:tcBorders/>
            <w:tcW w:w="926" w:type="dxa"/>
            <w:vAlign w:val="center"/>
            <w:textDirection w:val="lrTb"/>
            <w:noWrap w:val="false"/>
          </w:tcPr>
          <w:p>
            <w:pPr>
              <w:pBdr/>
              <w:spacing/>
              <w:ind w:right="-105" w:left="-59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偏离程度</w:t>
            </w: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</w:p>
        </w:tc>
        <w:tc>
          <w:tcPr>
            <w:tcBorders/>
            <w:tcW w:w="936" w:type="dxa"/>
            <w:vAlign w:val="center"/>
            <w:textDirection w:val="lrTb"/>
            <w:noWrap w:val="false"/>
          </w:tcPr>
          <w:p>
            <w:pPr>
              <w:pBdr/>
              <w:spacing/>
              <w:ind w:right="-105" w:left="-59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偏离说明</w:t>
            </w: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</w:p>
        </w:tc>
      </w:tr>
      <w:tr>
        <w:trPr>
          <w:jc w:val="center"/>
          <w:trHeight w:val="345"/>
        </w:trPr>
        <w:tc>
          <w:tcPr>
            <w:tcBorders/>
            <w:tcW w:w="544" w:type="dxa"/>
            <w:vAlign w:val="center"/>
            <w:textDirection w:val="lrTb"/>
            <w:noWrap w:val="false"/>
          </w:tcPr>
          <w:p>
            <w:pPr>
              <w:pBdr/>
              <w:spacing/>
              <w:ind w:right="105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1</w:t>
            </w: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</w:p>
        </w:tc>
        <w:tc>
          <w:tcPr>
            <w:tcBorders/>
            <w:tcW w:w="373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18"/>
                <w:szCs w:val="18"/>
              </w:rPr>
              <w:t xml:space="preserve">★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交货时间：合同签订后20天内完成安装调试并交付采购方验收使用。（以实际签订合同为准）</w:t>
            </w: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</w:p>
        </w:tc>
        <w:tc>
          <w:tcPr>
            <w:tcBorders/>
            <w:tcW w:w="2370" w:type="dxa"/>
            <w:vAlign w:val="center"/>
            <w:textDirection w:val="lrTb"/>
            <w:noWrap w:val="false"/>
          </w:tcPr>
          <w:p>
            <w:pPr>
              <w:pBdr/>
              <w:spacing/>
              <w:ind w:right="105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</w:p>
        </w:tc>
        <w:tc>
          <w:tcPr>
            <w:tcBorders/>
            <w:tcW w:w="926" w:type="dxa"/>
            <w:vAlign w:val="center"/>
            <w:textDirection w:val="lrTb"/>
            <w:noWrap w:val="false"/>
          </w:tcPr>
          <w:p>
            <w:pPr>
              <w:pBdr/>
              <w:spacing/>
              <w:ind w:right="105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</w:p>
        </w:tc>
        <w:tc>
          <w:tcPr>
            <w:tcBorders/>
            <w:tcW w:w="936" w:type="dxa"/>
            <w:vAlign w:val="center"/>
            <w:textDirection w:val="lrTb"/>
            <w:noWrap w:val="false"/>
          </w:tcPr>
          <w:p>
            <w:pPr>
              <w:pBdr/>
              <w:spacing/>
              <w:ind w:right="105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</w:p>
        </w:tc>
      </w:tr>
      <w:tr>
        <w:trPr>
          <w:jc w:val="center"/>
          <w:trHeight w:val="345"/>
        </w:trPr>
        <w:tc>
          <w:tcPr>
            <w:tcBorders/>
            <w:tcW w:w="544" w:type="dxa"/>
            <w:vAlign w:val="center"/>
            <w:textDirection w:val="lrTb"/>
            <w:noWrap w:val="false"/>
          </w:tcPr>
          <w:p>
            <w:pPr>
              <w:pBdr/>
              <w:spacing/>
              <w:ind w:right="105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2</w:t>
            </w: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</w:p>
        </w:tc>
        <w:tc>
          <w:tcPr>
            <w:tcBorders/>
            <w:tcW w:w="373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18"/>
                <w:szCs w:val="18"/>
              </w:rPr>
              <w:t xml:space="preserve">★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交货地点：采购人指定地点</w:t>
            </w: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</w:p>
        </w:tc>
        <w:tc>
          <w:tcPr>
            <w:tcBorders/>
            <w:tcW w:w="2370" w:type="dxa"/>
            <w:vAlign w:val="center"/>
            <w:textDirection w:val="lrTb"/>
            <w:noWrap w:val="false"/>
          </w:tcPr>
          <w:p>
            <w:pPr>
              <w:pBdr/>
              <w:spacing/>
              <w:ind w:right="105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</w:p>
        </w:tc>
        <w:tc>
          <w:tcPr>
            <w:tcBorders/>
            <w:tcW w:w="926" w:type="dxa"/>
            <w:vAlign w:val="center"/>
            <w:textDirection w:val="lrTb"/>
            <w:noWrap w:val="false"/>
          </w:tcPr>
          <w:p>
            <w:pPr>
              <w:pBdr/>
              <w:spacing/>
              <w:ind w:right="105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</w:p>
        </w:tc>
        <w:tc>
          <w:tcPr>
            <w:tcBorders/>
            <w:tcW w:w="936" w:type="dxa"/>
            <w:vAlign w:val="center"/>
            <w:textDirection w:val="lrTb"/>
            <w:noWrap w:val="false"/>
          </w:tcPr>
          <w:p>
            <w:pPr>
              <w:pBdr/>
              <w:spacing/>
              <w:ind w:right="105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</w:p>
        </w:tc>
      </w:tr>
      <w:tr>
        <w:trPr>
          <w:jc w:val="center"/>
          <w:trHeight w:val="345"/>
        </w:trPr>
        <w:tc>
          <w:tcPr>
            <w:tcBorders/>
            <w:tcW w:w="544" w:type="dxa"/>
            <w:vAlign w:val="center"/>
            <w:textDirection w:val="lrTb"/>
            <w:noWrap w:val="false"/>
          </w:tcPr>
          <w:p>
            <w:pPr>
              <w:pBdr/>
              <w:spacing/>
              <w:ind w:right="105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3</w:t>
            </w: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</w:p>
        </w:tc>
        <w:tc>
          <w:tcPr>
            <w:tcBorders/>
            <w:tcW w:w="373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18"/>
                <w:szCs w:val="18"/>
              </w:rPr>
              <w:t xml:space="preserve">★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付款方式及条件：按合同约定付款</w:t>
            </w: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</w:p>
        </w:tc>
        <w:tc>
          <w:tcPr>
            <w:tcBorders/>
            <w:tcW w:w="2370" w:type="dxa"/>
            <w:vAlign w:val="center"/>
            <w:textDirection w:val="lrTb"/>
            <w:noWrap w:val="false"/>
          </w:tcPr>
          <w:p>
            <w:pPr>
              <w:pBdr/>
              <w:spacing/>
              <w:ind w:right="105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</w:p>
        </w:tc>
        <w:tc>
          <w:tcPr>
            <w:tcBorders/>
            <w:tcW w:w="926" w:type="dxa"/>
            <w:vAlign w:val="center"/>
            <w:textDirection w:val="lrTb"/>
            <w:noWrap w:val="false"/>
          </w:tcPr>
          <w:p>
            <w:pPr>
              <w:pBdr/>
              <w:spacing/>
              <w:ind w:right="105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</w:p>
        </w:tc>
        <w:tc>
          <w:tcPr>
            <w:tcBorders/>
            <w:tcW w:w="936" w:type="dxa"/>
            <w:vAlign w:val="center"/>
            <w:textDirection w:val="lrTb"/>
            <w:noWrap w:val="false"/>
          </w:tcPr>
          <w:p>
            <w:pPr>
              <w:pBdr/>
              <w:spacing/>
              <w:ind w:right="105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</w:p>
        </w:tc>
      </w:tr>
      <w:tr>
        <w:trPr>
          <w:jc w:val="center"/>
          <w:trHeight w:val="1367"/>
        </w:trPr>
        <w:tc>
          <w:tcPr>
            <w:tcBorders/>
            <w:tcW w:w="544" w:type="dxa"/>
            <w:vAlign w:val="center"/>
            <w:textDirection w:val="lrTb"/>
            <w:noWrap w:val="false"/>
          </w:tcPr>
          <w:p>
            <w:pPr>
              <w:pBdr/>
              <w:spacing/>
              <w:ind w:right="105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4</w:t>
            </w: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</w:p>
        </w:tc>
        <w:tc>
          <w:tcPr>
            <w:tcBorders/>
            <w:tcW w:w="373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18"/>
                <w:szCs w:val="18"/>
              </w:rPr>
              <w:t xml:space="preserve">★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验收标准：按照《关于印发辽宁省政府采购履约验收管理办法的通知》（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辽财采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[2017]603号）规定执行。</w:t>
            </w: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</w:p>
          <w:p>
            <w:pPr>
              <w:pBdr/>
              <w:spacing/>
              <w:ind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18"/>
                <w:szCs w:val="18"/>
              </w:rPr>
              <w:t xml:space="preserve">★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组织验收主体：本项目的履约验收工作由采购人依法组织实施。</w:t>
            </w: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</w:p>
        </w:tc>
        <w:tc>
          <w:tcPr>
            <w:tcBorders/>
            <w:tcW w:w="2370" w:type="dxa"/>
            <w:vAlign w:val="center"/>
            <w:textDirection w:val="lrTb"/>
            <w:noWrap w:val="false"/>
          </w:tcPr>
          <w:p>
            <w:pPr>
              <w:pBdr/>
              <w:spacing/>
              <w:ind w:right="105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</w:p>
        </w:tc>
        <w:tc>
          <w:tcPr>
            <w:tcBorders/>
            <w:tcW w:w="926" w:type="dxa"/>
            <w:vAlign w:val="center"/>
            <w:textDirection w:val="lrTb"/>
            <w:noWrap w:val="false"/>
          </w:tcPr>
          <w:p>
            <w:pPr>
              <w:pBdr/>
              <w:spacing/>
              <w:ind w:right="105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</w:p>
        </w:tc>
        <w:tc>
          <w:tcPr>
            <w:tcBorders/>
            <w:tcW w:w="936" w:type="dxa"/>
            <w:vAlign w:val="center"/>
            <w:textDirection w:val="lrTb"/>
            <w:noWrap w:val="false"/>
          </w:tcPr>
          <w:p>
            <w:pPr>
              <w:pBdr/>
              <w:spacing/>
              <w:ind w:right="105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</w:p>
        </w:tc>
      </w:tr>
      <w:tr>
        <w:trPr>
          <w:jc w:val="center"/>
          <w:trHeight w:val="345"/>
        </w:trPr>
        <w:tc>
          <w:tcPr>
            <w:tcBorders/>
            <w:tcW w:w="544" w:type="dxa"/>
            <w:vAlign w:val="center"/>
            <w:textDirection w:val="lrTb"/>
            <w:noWrap w:val="false"/>
          </w:tcPr>
          <w:p>
            <w:pPr>
              <w:pBdr/>
              <w:spacing/>
              <w:ind w:right="105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5</w:t>
            </w: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</w:p>
        </w:tc>
        <w:tc>
          <w:tcPr>
            <w:tcBorders/>
            <w:tcW w:w="373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18"/>
                <w:szCs w:val="18"/>
              </w:rPr>
              <w:t xml:space="preserve">★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质量保证期：（ 1）年，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自设备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验收合格之日起计。</w:t>
            </w: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</w:p>
        </w:tc>
        <w:tc>
          <w:tcPr>
            <w:tcBorders/>
            <w:tcW w:w="2370" w:type="dxa"/>
            <w:vAlign w:val="center"/>
            <w:textDirection w:val="lrTb"/>
            <w:noWrap w:val="false"/>
          </w:tcPr>
          <w:p>
            <w:pPr>
              <w:pBdr/>
              <w:spacing/>
              <w:ind w:right="105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</w:p>
        </w:tc>
        <w:tc>
          <w:tcPr>
            <w:tcBorders/>
            <w:tcW w:w="926" w:type="dxa"/>
            <w:vAlign w:val="center"/>
            <w:textDirection w:val="lrTb"/>
            <w:noWrap w:val="false"/>
          </w:tcPr>
          <w:p>
            <w:pPr>
              <w:pBdr/>
              <w:spacing/>
              <w:ind w:right="105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</w:p>
        </w:tc>
        <w:tc>
          <w:tcPr>
            <w:tcBorders/>
            <w:tcW w:w="936" w:type="dxa"/>
            <w:vAlign w:val="center"/>
            <w:textDirection w:val="lrTb"/>
            <w:noWrap w:val="false"/>
          </w:tcPr>
          <w:p>
            <w:pPr>
              <w:pBdr/>
              <w:spacing/>
              <w:ind w:right="105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</w:p>
        </w:tc>
      </w:tr>
      <w:tr>
        <w:trPr>
          <w:jc w:val="center"/>
          <w:trHeight w:val="829"/>
        </w:trPr>
        <w:tc>
          <w:tcPr>
            <w:tcBorders/>
            <w:tcW w:w="544" w:type="dxa"/>
            <w:vAlign w:val="center"/>
            <w:textDirection w:val="lrTb"/>
            <w:noWrap w:val="false"/>
          </w:tcPr>
          <w:p>
            <w:pPr>
              <w:pBdr/>
              <w:spacing/>
              <w:ind w:right="105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6</w:t>
            </w: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</w:p>
        </w:tc>
        <w:tc>
          <w:tcPr>
            <w:tcBorders/>
            <w:tcW w:w="3737" w:type="dxa"/>
            <w:vAlign w:val="center"/>
            <w:textDirection w:val="lrTb"/>
            <w:noWrap w:val="false"/>
          </w:tcPr>
          <w:p>
            <w:pPr>
              <w:pBdr/>
              <w:spacing/>
              <w:ind w:hanging="1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18"/>
                <w:szCs w:val="18"/>
              </w:rPr>
              <w:t xml:space="preserve">★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现场支持：（  1  ）小时内响应；（  2 ）小时内到达</w:t>
            </w: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</w:p>
        </w:tc>
        <w:tc>
          <w:tcPr>
            <w:tcBorders/>
            <w:tcW w:w="2370" w:type="dxa"/>
            <w:vAlign w:val="center"/>
            <w:textDirection w:val="lrTb"/>
            <w:noWrap w:val="false"/>
          </w:tcPr>
          <w:p>
            <w:pPr>
              <w:pBdr/>
              <w:spacing/>
              <w:ind w:right="105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</w:p>
        </w:tc>
        <w:tc>
          <w:tcPr>
            <w:tcBorders/>
            <w:tcW w:w="926" w:type="dxa"/>
            <w:vAlign w:val="center"/>
            <w:textDirection w:val="lrTb"/>
            <w:noWrap w:val="false"/>
          </w:tcPr>
          <w:p>
            <w:pPr>
              <w:pBdr/>
              <w:spacing/>
              <w:ind w:right="105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</w:p>
        </w:tc>
        <w:tc>
          <w:tcPr>
            <w:tcBorders/>
            <w:tcW w:w="936" w:type="dxa"/>
            <w:vAlign w:val="center"/>
            <w:textDirection w:val="lrTb"/>
            <w:noWrap w:val="false"/>
          </w:tcPr>
          <w:p>
            <w:pPr>
              <w:pBdr/>
              <w:spacing/>
              <w:ind w:right="105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</w:p>
        </w:tc>
      </w:tr>
      <w:tr>
        <w:trPr>
          <w:jc w:val="center"/>
          <w:trHeight w:val="416"/>
        </w:trPr>
        <w:tc>
          <w:tcPr>
            <w:tcBorders/>
            <w:tcW w:w="544" w:type="dxa"/>
            <w:vAlign w:val="center"/>
            <w:textDirection w:val="lrTb"/>
            <w:noWrap w:val="false"/>
          </w:tcPr>
          <w:p>
            <w:pPr>
              <w:pBdr/>
              <w:spacing/>
              <w:ind w:right="105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</w:p>
        </w:tc>
        <w:tc>
          <w:tcPr>
            <w:tcBorders/>
            <w:tcW w:w="3737" w:type="dxa"/>
            <w:vAlign w:val="center"/>
            <w:textDirection w:val="lrTb"/>
            <w:noWrap w:val="false"/>
          </w:tcPr>
          <w:p>
            <w:pPr>
              <w:pBdr/>
              <w:spacing/>
              <w:ind w:hanging="1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</w:p>
        </w:tc>
        <w:tc>
          <w:tcPr>
            <w:tcBorders/>
            <w:tcW w:w="2370" w:type="dxa"/>
            <w:vAlign w:val="center"/>
            <w:textDirection w:val="lrTb"/>
            <w:noWrap w:val="false"/>
          </w:tcPr>
          <w:p>
            <w:pPr>
              <w:pBdr/>
              <w:spacing/>
              <w:ind w:right="105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</w:p>
        </w:tc>
        <w:tc>
          <w:tcPr>
            <w:tcBorders/>
            <w:tcW w:w="926" w:type="dxa"/>
            <w:vAlign w:val="center"/>
            <w:textDirection w:val="lrTb"/>
            <w:noWrap w:val="false"/>
          </w:tcPr>
          <w:p>
            <w:pPr>
              <w:pBdr/>
              <w:spacing/>
              <w:ind w:right="105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</w:p>
        </w:tc>
        <w:tc>
          <w:tcPr>
            <w:tcBorders/>
            <w:tcW w:w="936" w:type="dxa"/>
            <w:vAlign w:val="center"/>
            <w:textDirection w:val="lrTb"/>
            <w:noWrap w:val="false"/>
          </w:tcPr>
          <w:p>
            <w:pPr>
              <w:pBdr/>
              <w:spacing/>
              <w:ind w:right="105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</w:p>
        </w:tc>
      </w:tr>
      <w:tr>
        <w:trPr>
          <w:jc w:val="center"/>
          <w:trHeight w:val="836"/>
        </w:trPr>
        <w:tc>
          <w:tcPr>
            <w:tcBorders/>
            <w:tcW w:w="544" w:type="dxa"/>
            <w:vAlign w:val="center"/>
            <w:textDirection w:val="lrTb"/>
            <w:noWrap w:val="false"/>
          </w:tcPr>
          <w:p>
            <w:pPr>
              <w:pBdr/>
              <w:spacing/>
              <w:ind w:right="105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</w:p>
        </w:tc>
        <w:tc>
          <w:tcPr>
            <w:tcBorders/>
            <w:tcW w:w="3737" w:type="dxa"/>
            <w:vAlign w:val="center"/>
            <w:textDirection w:val="lrTb"/>
            <w:noWrap w:val="false"/>
          </w:tcPr>
          <w:p>
            <w:pPr>
              <w:pBdr/>
              <w:spacing/>
              <w:ind w:hanging="1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其它</w:t>
            </w: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</w:p>
        </w:tc>
        <w:tc>
          <w:tcPr>
            <w:tcBorders/>
            <w:tcW w:w="2370" w:type="dxa"/>
            <w:vAlign w:val="center"/>
            <w:textDirection w:val="lrTb"/>
            <w:noWrap w:val="false"/>
          </w:tcPr>
          <w:p>
            <w:pPr>
              <w:pBdr/>
              <w:spacing/>
              <w:ind w:right="-17" w:left="-53"/>
              <w:jc w:val="lef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采购单位未提供需求而投标人认为需说明及补充的内容在此填列</w:t>
            </w: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</w:p>
        </w:tc>
        <w:tc>
          <w:tcPr>
            <w:tcBorders/>
            <w:tcW w:w="926" w:type="dxa"/>
            <w:vAlign w:val="center"/>
            <w:textDirection w:val="lrTb"/>
            <w:noWrap w:val="false"/>
          </w:tcPr>
          <w:p>
            <w:pPr>
              <w:pBdr/>
              <w:spacing/>
              <w:ind w:right="105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</w:p>
        </w:tc>
        <w:tc>
          <w:tcPr>
            <w:tcBorders/>
            <w:tcW w:w="936" w:type="dxa"/>
            <w:vAlign w:val="center"/>
            <w:textDirection w:val="lrTb"/>
            <w:noWrap w:val="false"/>
          </w:tcPr>
          <w:p>
            <w:pPr>
              <w:pBdr/>
              <w:spacing/>
              <w:ind w:right="105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</w:p>
        </w:tc>
      </w:tr>
    </w:tbl>
    <w:p>
      <w:pPr>
        <w:pBdr/>
        <w:spacing w:line="360" w:lineRule="auto"/>
        <w:ind w:right="105"/>
        <w:jc w:val="left"/>
        <w:rPr>
          <w:rFonts w:ascii="仿宋_GB2312" w:hAnsi="仿宋_GB2312" w:eastAsia="仿宋_GB2312" w:cs="仿宋_GB2312"/>
          <w:szCs w:val="21"/>
        </w:rPr>
      </w:pPr>
      <w:r>
        <w:rPr>
          <w:rFonts w:hint="eastAsia" w:ascii="仿宋_GB2312" w:hAnsi="仿宋_GB2312" w:eastAsia="仿宋_GB2312" w:cs="仿宋_GB2312"/>
          <w:b/>
          <w:szCs w:val="21"/>
        </w:rPr>
        <w:t xml:space="preserve">填表要求：</w:t>
      </w:r>
      <w:r>
        <w:rPr>
          <w:rFonts w:ascii="仿宋_GB2312" w:hAnsi="仿宋_GB2312" w:eastAsia="仿宋_GB2312" w:cs="仿宋_GB2312"/>
          <w:szCs w:val="21"/>
        </w:rPr>
      </w:r>
      <w:r>
        <w:rPr>
          <w:rFonts w:ascii="仿宋_GB2312" w:hAnsi="仿宋_GB2312" w:eastAsia="仿宋_GB2312" w:cs="仿宋_GB2312"/>
          <w:szCs w:val="21"/>
        </w:rPr>
      </w:r>
    </w:p>
    <w:p>
      <w:pPr>
        <w:pBdr/>
        <w:spacing w:line="360" w:lineRule="auto"/>
        <w:ind/>
        <w:rPr>
          <w:rFonts w:ascii="仿宋_GB2312" w:hAnsi="仿宋_GB2312" w:eastAsia="仿宋_GB2312" w:cs="仿宋_GB2312"/>
          <w:szCs w:val="21"/>
        </w:rPr>
      </w:pPr>
      <w:r>
        <w:rPr>
          <w:rFonts w:hint="eastAsia" w:ascii="仿宋_GB2312" w:hAnsi="仿宋_GB2312" w:eastAsia="仿宋_GB2312" w:cs="仿宋_GB2312"/>
          <w:szCs w:val="21"/>
        </w:rPr>
        <w:t xml:space="preserve">1．“投标文件响应内容”一栏由投标人按照招标文件要求填写，进行响应。</w:t>
      </w:r>
      <w:r>
        <w:rPr>
          <w:rFonts w:ascii="仿宋_GB2312" w:hAnsi="仿宋_GB2312" w:eastAsia="仿宋_GB2312" w:cs="仿宋_GB2312"/>
          <w:szCs w:val="21"/>
        </w:rPr>
      </w:r>
      <w:r>
        <w:rPr>
          <w:rFonts w:ascii="仿宋_GB2312" w:hAnsi="仿宋_GB2312" w:eastAsia="仿宋_GB2312" w:cs="仿宋_GB2312"/>
          <w:szCs w:val="21"/>
        </w:rPr>
      </w:r>
    </w:p>
    <w:p>
      <w:pPr>
        <w:pBdr/>
        <w:spacing w:line="360" w:lineRule="auto"/>
        <w:ind/>
        <w:rPr>
          <w:rFonts w:ascii="仿宋_GB2312" w:hAnsi="仿宋_GB2312" w:eastAsia="仿宋_GB2312" w:cs="仿宋_GB2312"/>
          <w:szCs w:val="21"/>
        </w:rPr>
      </w:pPr>
      <w:r>
        <w:rPr>
          <w:rFonts w:hint="eastAsia" w:ascii="仿宋_GB2312" w:hAnsi="仿宋_GB2312" w:eastAsia="仿宋_GB2312" w:cs="仿宋_GB2312"/>
          <w:szCs w:val="21"/>
        </w:rPr>
        <w:t xml:space="preserve">2．“偏离程度”一栏根据“投标文件响应内容”与招标文件逐项对照的结果填写。偏离必须用 “正偏离、负偏离或无偏离”三个名称中的一种进行标注。</w:t>
      </w:r>
      <w:r>
        <w:rPr>
          <w:rFonts w:ascii="仿宋_GB2312" w:hAnsi="仿宋_GB2312" w:eastAsia="仿宋_GB2312" w:cs="仿宋_GB2312"/>
          <w:szCs w:val="21"/>
        </w:rPr>
      </w:r>
      <w:r>
        <w:rPr>
          <w:rFonts w:ascii="仿宋_GB2312" w:hAnsi="仿宋_GB2312" w:eastAsia="仿宋_GB2312" w:cs="仿宋_GB2312"/>
          <w:szCs w:val="21"/>
        </w:rPr>
      </w:r>
    </w:p>
    <w:p>
      <w:pPr>
        <w:pBdr/>
        <w:spacing w:line="360" w:lineRule="auto"/>
        <w:ind/>
        <w:rPr>
          <w:rFonts w:ascii="仿宋_GB2312" w:hAnsi="仿宋_GB2312" w:eastAsia="仿宋_GB2312" w:cs="仿宋_GB2312"/>
          <w:szCs w:val="21"/>
        </w:rPr>
      </w:pPr>
      <w:r>
        <w:rPr>
          <w:rFonts w:hint="eastAsia" w:ascii="仿宋_GB2312" w:hAnsi="仿宋_GB2312" w:eastAsia="仿宋_GB2312" w:cs="仿宋_GB2312"/>
          <w:szCs w:val="21"/>
        </w:rPr>
        <w:t xml:space="preserve">3．“偏离说明”一栏由投标人对偏离的情况做详细说明。</w:t>
      </w:r>
      <w:r>
        <w:rPr>
          <w:rFonts w:ascii="仿宋_GB2312" w:hAnsi="仿宋_GB2312" w:eastAsia="仿宋_GB2312" w:cs="仿宋_GB2312"/>
          <w:szCs w:val="21"/>
        </w:rPr>
      </w:r>
      <w:r>
        <w:rPr>
          <w:rFonts w:ascii="仿宋_GB2312" w:hAnsi="仿宋_GB2312" w:eastAsia="仿宋_GB2312" w:cs="仿宋_GB2312"/>
          <w:szCs w:val="21"/>
        </w:rPr>
      </w:r>
    </w:p>
    <w:p>
      <w:pPr>
        <w:pBdr/>
        <w:spacing w:line="360" w:lineRule="auto"/>
        <w:ind/>
        <w:rPr>
          <w:rFonts w:ascii="仿宋_GB2312" w:hAnsi="仿宋_GB2312" w:eastAsia="仿宋_GB2312" w:cs="仿宋_GB2312"/>
          <w:szCs w:val="21"/>
        </w:rPr>
      </w:pPr>
      <w:r>
        <w:rPr>
          <w:rFonts w:ascii="仿宋_GB2312" w:hAnsi="仿宋_GB2312" w:eastAsia="仿宋_GB2312" w:cs="仿宋_GB2312"/>
          <w:szCs w:val="21"/>
        </w:rPr>
      </w:r>
      <w:r>
        <w:rPr>
          <w:rFonts w:ascii="仿宋_GB2312" w:hAnsi="仿宋_GB2312" w:eastAsia="仿宋_GB2312" w:cs="仿宋_GB2312"/>
          <w:szCs w:val="21"/>
        </w:rPr>
      </w:r>
      <w:r>
        <w:rPr>
          <w:rFonts w:ascii="仿宋_GB2312" w:hAnsi="仿宋_GB2312" w:eastAsia="仿宋_GB2312" w:cs="仿宋_GB2312"/>
          <w:szCs w:val="21"/>
        </w:rPr>
      </w:r>
    </w:p>
    <w:p>
      <w:pPr>
        <w:pBdr/>
        <w:spacing w:line="480" w:lineRule="auto"/>
        <w:ind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 xml:space="preserve">投标人名称（加盖单位公章）：</w:t>
      </w:r>
      <w:sdt>
        <w:sdtPr>
          <w:alias w:val="投标人名称（加盖单位公章）"/>
          <w15:appearance w15:val="boundingBox"/>
          <w:lock w:val="unlocked"/>
          <w:placeholder>
            <w:docPart w:val="c1420c3da7ec41b6a3feceb91b61fd82"/>
          </w:placeholder>
          <w:temporary w:val="true"/>
          <w:tag w:val="投标人名称（加盖单位公章）"/>
          <w:rPr>
            <w:rFonts w:hint="eastAsia" w:ascii="仿宋_GB2312" w:hAnsi="仿宋_GB2312" w:eastAsia="仿宋_GB2312" w:cs="仿宋_GB2312"/>
            <w:u w:val="single"/>
          </w:rPr>
        </w:sdtPr>
        <w:sdtContent>
          <w:r>
            <w:rPr>
              <w:rFonts w:hint="eastAsia" w:ascii="仿宋_GB2312" w:hAnsi="仿宋_GB2312" w:eastAsia="仿宋_GB2312" w:cs="仿宋_GB2312"/>
            </w:rPr>
          </w:r>
          <w:r>
            <w:rPr>
              <w:rFonts w:hint="eastAsia" w:ascii="仿宋_GB2312" w:hAnsi="仿宋_GB2312" w:eastAsia="仿宋_GB2312" w:cs="仿宋_GB2312"/>
              <w:u w:val="single"/>
            </w:rPr>
            <w:t xml:space="preserve">           </w:t>
          </w:r>
          <w:r>
            <w:rPr>
              <w:rFonts w:ascii="仿宋_GB2312" w:hAnsi="仿宋_GB2312" w:eastAsia="仿宋_GB2312" w:cs="仿宋_GB2312"/>
            </w:rPr>
          </w:r>
        </w:sdtContent>
      </w:sdt>
      <w:r>
        <w:rPr>
          <w:rFonts w:ascii="仿宋_GB2312" w:hAnsi="仿宋_GB2312" w:eastAsia="仿宋_GB2312" w:cs="仿宋_GB2312"/>
        </w:rPr>
      </w:r>
      <w:r>
        <w:rPr>
          <w:rFonts w:ascii="仿宋_GB2312" w:hAnsi="仿宋_GB2312" w:eastAsia="仿宋_GB2312" w:cs="仿宋_GB2312"/>
        </w:rPr>
      </w:r>
    </w:p>
    <w:p>
      <w:pPr>
        <w:pBdr/>
        <w:spacing w:line="480" w:lineRule="auto"/>
        <w:ind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 xml:space="preserve">法定代表人（或</w:t>
      </w:r>
      <w:r>
        <w:rPr>
          <w:rFonts w:hint="eastAsia" w:ascii="仿宋_GB2312" w:hAnsi="仿宋_GB2312" w:eastAsia="仿宋_GB2312" w:cs="仿宋_GB2312"/>
          <w:szCs w:val="21"/>
        </w:rPr>
        <w:t xml:space="preserve">非法人组织负责人）或</w:t>
      </w:r>
      <w:r>
        <w:rPr>
          <w:rFonts w:hint="eastAsia" w:ascii="仿宋_GB2312" w:hAnsi="仿宋_GB2312" w:eastAsia="仿宋_GB2312" w:cs="仿宋_GB2312"/>
        </w:rPr>
        <w:t xml:space="preserve">其</w:t>
      </w:r>
      <w:r>
        <w:rPr>
          <w:rFonts w:hint="eastAsia" w:ascii="仿宋_GB2312" w:hAnsi="仿宋_GB2312" w:eastAsia="仿宋_GB2312" w:cs="仿宋_GB2312"/>
          <w:szCs w:val="21"/>
        </w:rPr>
        <w:t xml:space="preserve">授权</w:t>
      </w:r>
      <w:r>
        <w:rPr>
          <w:rFonts w:hint="eastAsia" w:ascii="仿宋_GB2312" w:hAnsi="仿宋_GB2312" w:eastAsia="仿宋_GB2312" w:cs="仿宋_GB2312"/>
        </w:rPr>
        <w:t xml:space="preserve">委托</w:t>
      </w:r>
      <w:r>
        <w:rPr>
          <w:rFonts w:hint="eastAsia" w:ascii="仿宋_GB2312" w:hAnsi="仿宋_GB2312" w:eastAsia="仿宋_GB2312" w:cs="仿宋_GB2312"/>
          <w:szCs w:val="21"/>
        </w:rPr>
        <w:t xml:space="preserve">人</w:t>
      </w:r>
      <w:r>
        <w:rPr>
          <w:rFonts w:hint="eastAsia" w:ascii="仿宋_GB2312" w:hAnsi="仿宋_GB2312" w:eastAsia="仿宋_GB2312" w:cs="仿宋_GB2312"/>
        </w:rPr>
        <w:t xml:space="preserve">(签字或盖章)：</w:t>
      </w:r>
      <w:sdt>
        <w:sdtPr>
          <w:alias w:val="法定代表人（或非法人组织负责人）或其授权委托人(签字或盖章)："/>
          <w15:appearance w15:val="boundingBox"/>
          <w:lock w:val="unlocked"/>
          <w:placeholder>
            <w:docPart w:val="fabe0046ab8142118eb540b07811111d"/>
          </w:placeholder>
          <w:temporary w:val="true"/>
          <w:tag w:val="法定代表人（或非法人组织负责人）或其授权委托人(签字或盖章)："/>
          <w:rPr>
            <w:rFonts w:hint="eastAsia" w:ascii="仿宋_GB2312" w:hAnsi="仿宋_GB2312" w:eastAsia="仿宋_GB2312" w:cs="仿宋_GB2312"/>
            <w:u w:val="single"/>
          </w:rPr>
        </w:sdtPr>
        <w:sdtContent>
          <w:r>
            <w:rPr>
              <w:rFonts w:hint="eastAsia" w:ascii="仿宋_GB2312" w:hAnsi="仿宋_GB2312" w:eastAsia="仿宋_GB2312" w:cs="仿宋_GB2312"/>
            </w:rPr>
          </w:r>
          <w:r>
            <w:rPr>
              <w:rFonts w:hint="eastAsia" w:ascii="仿宋_GB2312" w:hAnsi="仿宋_GB2312" w:eastAsia="仿宋_GB2312" w:cs="仿宋_GB2312"/>
              <w:u w:val="single"/>
            </w:rPr>
            <w:t xml:space="preserve">           </w:t>
          </w:r>
        </w:sdtContent>
      </w:sdt>
      <w:r>
        <w:rPr>
          <w:rFonts w:hint="eastAsia" w:ascii="仿宋_GB2312" w:hAnsi="仿宋_GB2312" w:eastAsia="仿宋_GB2312" w:cs="仿宋_GB2312"/>
          <w:u w:val="single"/>
        </w:rPr>
      </w:r>
      <w:r>
        <w:rPr>
          <w:rFonts w:ascii="仿宋_GB2312" w:hAnsi="仿宋_GB2312" w:eastAsia="仿宋_GB2312" w:cs="仿宋_GB2312"/>
        </w:rPr>
      </w:r>
      <w:r>
        <w:rPr>
          <w:rFonts w:ascii="仿宋_GB2312" w:hAnsi="仿宋_GB2312" w:eastAsia="仿宋_GB2312" w:cs="仿宋_GB2312"/>
        </w:rPr>
      </w:r>
    </w:p>
    <w:p>
      <w:pPr>
        <w:pBdr/>
        <w:spacing w:line="480" w:lineRule="auto"/>
        <w:ind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 xml:space="preserve">日期：</w:t>
      </w:r>
      <w:sdt>
        <w:sdtPr>
          <w:alias w:val="日期"/>
          <w15:appearance w15:val="boundingBox"/>
          <w:lock w:val="unlocked"/>
          <w:placeholder>
            <w:docPart w:val="dbc2bcc02e31484aa127211a11041c59"/>
          </w:placeholder>
          <w:temporary w:val="true"/>
          <w:tag w:val="日期"/>
          <w:rPr>
            <w:rFonts w:hint="eastAsia" w:ascii="仿宋_GB2312" w:hAnsi="仿宋_GB2312" w:eastAsia="仿宋_GB2312" w:cs="仿宋_GB2312"/>
            <w:u w:val="single"/>
          </w:rPr>
        </w:sdtPr>
        <w:sdtContent>
          <w:r>
            <w:rPr>
              <w:rFonts w:hint="eastAsia" w:ascii="仿宋_GB2312" w:hAnsi="仿宋_GB2312" w:eastAsia="仿宋_GB2312" w:cs="仿宋_GB2312"/>
            </w:rPr>
          </w:r>
          <w:r>
            <w:rPr>
              <w:rFonts w:hint="eastAsia" w:ascii="仿宋_GB2312" w:hAnsi="仿宋_GB2312" w:eastAsia="仿宋_GB2312" w:cs="仿宋_GB2312"/>
              <w:u w:val="single"/>
            </w:rPr>
            <w:t xml:space="preserve">               </w:t>
          </w:r>
        </w:sdtContent>
      </w:sdt>
      <w:r>
        <w:rPr>
          <w:rFonts w:hint="eastAsia" w:ascii="仿宋_GB2312" w:hAnsi="仿宋_GB2312" w:eastAsia="仿宋_GB2312" w:cs="仿宋_GB2312"/>
          <w:u w:val="single"/>
        </w:rPr>
        <w:t xml:space="preserve"> </w:t>
      </w:r>
      <w:r>
        <w:rPr>
          <w:rFonts w:ascii="仿宋_GB2312" w:hAnsi="仿宋_GB2312" w:eastAsia="仿宋_GB2312" w:cs="仿宋_GB2312"/>
        </w:rPr>
      </w:r>
      <w:r>
        <w:rPr>
          <w:rFonts w:ascii="仿宋_GB2312" w:hAnsi="仿宋_GB2312" w:eastAsia="仿宋_GB2312" w:cs="仿宋_GB2312"/>
        </w:rPr>
      </w:r>
    </w:p>
    <w:p>
      <w:pPr>
        <w:pBdr/>
        <w:spacing/>
        <w:ind/>
        <w:rPr/>
      </w:pPr>
      <w:r/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仿宋_GB2312">
    <w:panose1 w:val="0201060903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3ba44823133a465cb473d985013825d8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包号</w:t>
          </w:r>
          <w:r/>
          <w:r/>
        </w:p>
      </w:docPartBody>
    </w:docPart>
    <w:docPart>
      <w:docPartPr>
        <w:name w:val="c1420c3da7ec41b6a3feceb91b61fd82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投标人名称（加盖单位公章）</w:t>
          </w:r>
          <w:r/>
          <w:r/>
        </w:p>
      </w:docPartBody>
    </w:docPart>
    <w:docPart>
      <w:docPartPr>
        <w:name w:val="fabe0046ab8142118eb540b07811111d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法定代表人（或非法人组织负责人）或其授权委托人(签字或盖章)：</w:t>
          </w:r>
          <w:r/>
          <w:r/>
        </w:p>
      </w:docPartBody>
    </w:docPart>
    <w:docPart>
      <w:docPartPr>
        <w:name w:val="dbc2bcc02e31484aa127211a11041c59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日期</w:t>
          </w:r>
          <w:r/>
          <w:r/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247" w:default="1">
    <w:name w:val="Normal"/>
    <w:qFormat/>
    <w:pPr>
      <w:pBdr/>
      <w:spacing/>
      <w:ind/>
    </w:pPr>
  </w:style>
  <w:style w:type="character" w:styleId="248" w:default="1">
    <w:name w:val="Default Paragraph Font"/>
    <w:uiPriority w:val="1"/>
    <w:semiHidden/>
    <w:unhideWhenUsed/>
    <w:pPr>
      <w:pBdr/>
      <w:spacing/>
      <w:ind/>
    </w:pPr>
  </w:style>
  <w:style w:type="numbering" w:styleId="249" w:default="1">
    <w:name w:val="No List"/>
    <w:uiPriority w:val="99"/>
    <w:semiHidden/>
    <w:unhideWhenUsed/>
    <w:pPr>
      <w:pBdr/>
      <w:spacing/>
      <w:ind/>
    </w:pPr>
  </w:style>
  <w:style w:type="paragraph" w:styleId="250">
    <w:name w:val="Heading 1"/>
    <w:basedOn w:val="247"/>
    <w:next w:val="247"/>
    <w:link w:val="251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251">
    <w:name w:val="Heading 1 Char"/>
    <w:basedOn w:val="248"/>
    <w:link w:val="250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252">
    <w:name w:val="Heading 2"/>
    <w:basedOn w:val="247"/>
    <w:next w:val="247"/>
    <w:link w:val="253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253">
    <w:name w:val="Heading 2 Char"/>
    <w:basedOn w:val="248"/>
    <w:link w:val="252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254">
    <w:name w:val="Heading 3"/>
    <w:basedOn w:val="247"/>
    <w:next w:val="247"/>
    <w:link w:val="255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255">
    <w:name w:val="Heading 3 Char"/>
    <w:basedOn w:val="248"/>
    <w:link w:val="254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256">
    <w:name w:val="Heading 4"/>
    <w:basedOn w:val="247"/>
    <w:next w:val="247"/>
    <w:link w:val="257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57">
    <w:name w:val="Heading 4 Char"/>
    <w:basedOn w:val="248"/>
    <w:link w:val="256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58">
    <w:name w:val="Heading 5"/>
    <w:basedOn w:val="247"/>
    <w:next w:val="247"/>
    <w:link w:val="259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59">
    <w:name w:val="Heading 5 Char"/>
    <w:basedOn w:val="248"/>
    <w:link w:val="25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60">
    <w:name w:val="Heading 6"/>
    <w:basedOn w:val="247"/>
    <w:next w:val="247"/>
    <w:link w:val="261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61">
    <w:name w:val="Heading 6 Char"/>
    <w:basedOn w:val="248"/>
    <w:link w:val="260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62">
    <w:name w:val="Heading 7"/>
    <w:basedOn w:val="247"/>
    <w:next w:val="247"/>
    <w:link w:val="263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3">
    <w:name w:val="Heading 7 Char"/>
    <w:basedOn w:val="248"/>
    <w:link w:val="262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64">
    <w:name w:val="Heading 8"/>
    <w:basedOn w:val="247"/>
    <w:next w:val="247"/>
    <w:link w:val="265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65">
    <w:name w:val="Heading 8 Char"/>
    <w:basedOn w:val="248"/>
    <w:link w:val="264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66">
    <w:name w:val="Heading 9"/>
    <w:basedOn w:val="247"/>
    <w:next w:val="247"/>
    <w:link w:val="267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67">
    <w:name w:val="Heading 9 Char"/>
    <w:basedOn w:val="248"/>
    <w:link w:val="266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268">
    <w:name w:val="List Paragraph"/>
    <w:basedOn w:val="247"/>
    <w:uiPriority w:val="34"/>
    <w:qFormat/>
    <w:pPr>
      <w:pBdr/>
      <w:spacing/>
      <w:ind w:left="720"/>
      <w:contextualSpacing w:val="true"/>
    </w:pPr>
  </w:style>
  <w:style w:type="table" w:styleId="269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270">
    <w:name w:val="No Spacing"/>
    <w:uiPriority w:val="1"/>
    <w:qFormat/>
    <w:pPr>
      <w:pBdr/>
      <w:spacing w:after="0" w:before="0" w:line="240" w:lineRule="auto"/>
      <w:ind/>
    </w:pPr>
  </w:style>
  <w:style w:type="paragraph" w:styleId="271">
    <w:name w:val="Title"/>
    <w:basedOn w:val="247"/>
    <w:next w:val="247"/>
    <w:link w:val="272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272">
    <w:name w:val="Title Char"/>
    <w:basedOn w:val="248"/>
    <w:link w:val="271"/>
    <w:uiPriority w:val="10"/>
    <w:pPr>
      <w:pBdr/>
      <w:spacing/>
      <w:ind/>
    </w:pPr>
    <w:rPr>
      <w:sz w:val="48"/>
      <w:szCs w:val="48"/>
    </w:rPr>
  </w:style>
  <w:style w:type="paragraph" w:styleId="273">
    <w:name w:val="Subtitle"/>
    <w:basedOn w:val="247"/>
    <w:next w:val="247"/>
    <w:link w:val="274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274">
    <w:name w:val="Subtitle Char"/>
    <w:basedOn w:val="248"/>
    <w:link w:val="273"/>
    <w:uiPriority w:val="11"/>
    <w:pPr>
      <w:pBdr/>
      <w:spacing/>
      <w:ind/>
    </w:pPr>
    <w:rPr>
      <w:sz w:val="24"/>
      <w:szCs w:val="24"/>
    </w:rPr>
  </w:style>
  <w:style w:type="paragraph" w:styleId="275">
    <w:name w:val="Quote"/>
    <w:basedOn w:val="247"/>
    <w:next w:val="247"/>
    <w:link w:val="276"/>
    <w:uiPriority w:val="29"/>
    <w:qFormat/>
    <w:pPr>
      <w:pBdr/>
      <w:spacing/>
      <w:ind w:right="720" w:left="720"/>
    </w:pPr>
    <w:rPr>
      <w:i/>
    </w:rPr>
  </w:style>
  <w:style w:type="character" w:styleId="276">
    <w:name w:val="Quote Char"/>
    <w:link w:val="275"/>
    <w:uiPriority w:val="29"/>
    <w:pPr>
      <w:pBdr/>
      <w:spacing/>
      <w:ind/>
    </w:pPr>
    <w:rPr>
      <w:i/>
    </w:rPr>
  </w:style>
  <w:style w:type="paragraph" w:styleId="277">
    <w:name w:val="Intense Quote"/>
    <w:basedOn w:val="247"/>
    <w:next w:val="247"/>
    <w:link w:val="278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278">
    <w:name w:val="Intense Quote Char"/>
    <w:link w:val="277"/>
    <w:uiPriority w:val="30"/>
    <w:pPr>
      <w:pBdr/>
      <w:spacing/>
      <w:ind/>
    </w:pPr>
    <w:rPr>
      <w:i/>
    </w:rPr>
  </w:style>
  <w:style w:type="paragraph" w:styleId="279">
    <w:name w:val="Header"/>
    <w:basedOn w:val="247"/>
    <w:link w:val="280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280">
    <w:name w:val="Header Char"/>
    <w:basedOn w:val="248"/>
    <w:link w:val="279"/>
    <w:uiPriority w:val="99"/>
    <w:pPr>
      <w:pBdr/>
      <w:spacing/>
      <w:ind/>
    </w:pPr>
  </w:style>
  <w:style w:type="paragraph" w:styleId="281">
    <w:name w:val="Footer"/>
    <w:basedOn w:val="247"/>
    <w:link w:val="284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282">
    <w:name w:val="Footer Char"/>
    <w:basedOn w:val="248"/>
    <w:link w:val="281"/>
    <w:uiPriority w:val="99"/>
    <w:pPr>
      <w:pBdr/>
      <w:spacing/>
      <w:ind/>
    </w:pPr>
  </w:style>
  <w:style w:type="paragraph" w:styleId="283">
    <w:name w:val="Caption"/>
    <w:basedOn w:val="247"/>
    <w:next w:val="247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284">
    <w:name w:val="Caption Char"/>
    <w:basedOn w:val="283"/>
    <w:link w:val="281"/>
    <w:uiPriority w:val="99"/>
    <w:pPr>
      <w:pBdr/>
      <w:spacing/>
      <w:ind/>
    </w:pPr>
  </w:style>
  <w:style w:type="table" w:styleId="285">
    <w:name w:val="Table Grid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6">
    <w:name w:val="Table Grid Light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7">
    <w:name w:val="Plain Table 1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8">
    <w:name w:val="Plain Table 2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9">
    <w:name w:val="Plain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0">
    <w:name w:val="Plain Table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1">
    <w:name w:val="Plain Table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2">
    <w:name w:val="Grid Table 1 Light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3">
    <w:name w:val="Grid Table 1 Light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4">
    <w:name w:val="Grid Table 1 Light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5">
    <w:name w:val="Grid Table 1 Light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6">
    <w:name w:val="Grid Table 1 Light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7">
    <w:name w:val="Grid Table 1 Light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8">
    <w:name w:val="Grid Table 1 Light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9">
    <w:name w:val="Grid Table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0">
    <w:name w:val="Grid Table 2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1">
    <w:name w:val="Grid Table 2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2">
    <w:name w:val="Grid Table 2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3">
    <w:name w:val="Grid Table 2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4">
    <w:name w:val="Grid Table 2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5">
    <w:name w:val="Grid Table 2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6">
    <w:name w:val="Grid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7">
    <w:name w:val="Grid Table 3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8">
    <w:name w:val="Grid Table 3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9">
    <w:name w:val="Grid Table 3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0">
    <w:name w:val="Grid Table 3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1">
    <w:name w:val="Grid Table 3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2">
    <w:name w:val="Grid Table 3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3">
    <w:name w:val="Grid Table 4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4">
    <w:name w:val="Grid Table 4 - Accent 1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5">
    <w:name w:val="Grid Table 4 - Accent 2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6">
    <w:name w:val="Grid Table 4 - Accent 3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7">
    <w:name w:val="Grid Table 4 - Accent 4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8">
    <w:name w:val="Grid Table 4 - Accent 5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9">
    <w:name w:val="Grid Table 4 - Accent 6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0">
    <w:name w:val="Grid Table 5 Dark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1">
    <w:name w:val="Grid Table 5 Dark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2">
    <w:name w:val="Grid Table 5 Dark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3">
    <w:name w:val="Grid Table 5 Dark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4">
    <w:name w:val="Grid Table 5 Dark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5">
    <w:name w:val="Grid Table 5 Dark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6">
    <w:name w:val="Grid Table 5 Dark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7">
    <w:name w:val="Grid Table 6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28">
    <w:name w:val="Grid Table 6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29">
    <w:name w:val="Grid Table 6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0">
    <w:name w:val="Grid Table 6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1">
    <w:name w:val="Grid Table 6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2">
    <w:name w:val="Grid Table 6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3">
    <w:name w:val="Grid Table 6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4">
    <w:name w:val="Grid Table 7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5">
    <w:name w:val="Grid Table 7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6">
    <w:name w:val="Grid Table 7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7">
    <w:name w:val="Grid Table 7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8">
    <w:name w:val="Grid Table 7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9">
    <w:name w:val="Grid Table 7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0">
    <w:name w:val="Grid Table 7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1">
    <w:name w:val="List Table 1 Light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2">
    <w:name w:val="List Table 1 Light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3">
    <w:name w:val="List Table 1 Light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4">
    <w:name w:val="List Table 1 Light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5">
    <w:name w:val="List Table 1 Light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6">
    <w:name w:val="List Table 1 Light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7">
    <w:name w:val="List Table 1 Light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8">
    <w:name w:val="List Table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9">
    <w:name w:val="List Table 2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0">
    <w:name w:val="List Table 2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1">
    <w:name w:val="List Table 2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2">
    <w:name w:val="List Table 2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3">
    <w:name w:val="List Table 2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4">
    <w:name w:val="List Table 2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5">
    <w:name w:val="List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6">
    <w:name w:val="List Table 3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7">
    <w:name w:val="List Table 3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8">
    <w:name w:val="List Table 3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9">
    <w:name w:val="List Table 3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0">
    <w:name w:val="List Table 3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1">
    <w:name w:val="List Table 3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2">
    <w:name w:val="List Table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3">
    <w:name w:val="List Table 4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4">
    <w:name w:val="List Table 4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5">
    <w:name w:val="List Table 4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6">
    <w:name w:val="List Table 4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7">
    <w:name w:val="List Table 4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8">
    <w:name w:val="List Table 4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9">
    <w:name w:val="List Table 5 Dark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0">
    <w:name w:val="List Table 5 Dark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1">
    <w:name w:val="List Table 5 Dark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2">
    <w:name w:val="List Table 5 Dark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3">
    <w:name w:val="List Table 5 Dark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4">
    <w:name w:val="List Table 5 Dark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5">
    <w:name w:val="List Table 5 Dark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6">
    <w:name w:val="List Table 6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7">
    <w:name w:val="List Table 6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8">
    <w:name w:val="List Table 6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9">
    <w:name w:val="List Table 6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0">
    <w:name w:val="List Table 6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1">
    <w:name w:val="List Table 6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2">
    <w:name w:val="List Table 6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3">
    <w:name w:val="List Table 7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4">
    <w:name w:val="List Table 7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5">
    <w:name w:val="List Table 7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6">
    <w:name w:val="List Table 7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7">
    <w:name w:val="List Table 7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8">
    <w:name w:val="List Table 7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9">
    <w:name w:val="List Table 7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90">
    <w:name w:val="Lined - Accent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1">
    <w:name w:val="Lined - Accent 1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2">
    <w:name w:val="Lined - Accent 2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3">
    <w:name w:val="Lined - Accent 3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4">
    <w:name w:val="Lined - Accent 4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5">
    <w:name w:val="Lined - Accent 5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6">
    <w:name w:val="Lined - Accent 6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7">
    <w:name w:val="Bordered &amp; Lined - Accent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8">
    <w:name w:val="Bordered &amp; Lined - Accent 1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9">
    <w:name w:val="Bordered &amp; Lined - Accent 2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0">
    <w:name w:val="Bordered &amp; Lined - Accent 3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1">
    <w:name w:val="Bordered &amp; Lined - Accent 4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2">
    <w:name w:val="Bordered &amp; Lined - Accent 5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3">
    <w:name w:val="Bordered &amp; Lined - Accent 6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4">
    <w:name w:val="Bordered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5">
    <w:name w:val="Bordered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6">
    <w:name w:val="Bordered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7">
    <w:name w:val="Bordered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8">
    <w:name w:val="Bordered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9">
    <w:name w:val="Bordered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0">
    <w:name w:val="Bordered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411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412">
    <w:name w:val="footnote text"/>
    <w:basedOn w:val="247"/>
    <w:link w:val="413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413">
    <w:name w:val="Footnote Text Char"/>
    <w:link w:val="412"/>
    <w:uiPriority w:val="99"/>
    <w:pPr>
      <w:pBdr/>
      <w:spacing/>
      <w:ind/>
    </w:pPr>
    <w:rPr>
      <w:sz w:val="18"/>
    </w:rPr>
  </w:style>
  <w:style w:type="character" w:styleId="414">
    <w:name w:val="footnote reference"/>
    <w:basedOn w:val="248"/>
    <w:uiPriority w:val="99"/>
    <w:unhideWhenUsed/>
    <w:pPr>
      <w:pBdr/>
      <w:spacing/>
      <w:ind/>
    </w:pPr>
    <w:rPr>
      <w:vertAlign w:val="superscript"/>
    </w:rPr>
  </w:style>
  <w:style w:type="paragraph" w:styleId="415">
    <w:name w:val="endnote text"/>
    <w:basedOn w:val="247"/>
    <w:link w:val="416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416">
    <w:name w:val="Endnote Text Char"/>
    <w:link w:val="415"/>
    <w:uiPriority w:val="99"/>
    <w:pPr>
      <w:pBdr/>
      <w:spacing/>
      <w:ind/>
    </w:pPr>
    <w:rPr>
      <w:sz w:val="20"/>
    </w:rPr>
  </w:style>
  <w:style w:type="character" w:styleId="417">
    <w:name w:val="endnote reference"/>
    <w:basedOn w:val="248"/>
    <w:uiPriority w:val="99"/>
    <w:semiHidden/>
    <w:unhideWhenUsed/>
    <w:pPr>
      <w:pBdr/>
      <w:spacing/>
      <w:ind/>
    </w:pPr>
    <w:rPr>
      <w:vertAlign w:val="superscript"/>
    </w:rPr>
  </w:style>
  <w:style w:type="paragraph" w:styleId="418">
    <w:name w:val="toc 1"/>
    <w:basedOn w:val="247"/>
    <w:next w:val="247"/>
    <w:uiPriority w:val="39"/>
    <w:unhideWhenUsed/>
    <w:pPr>
      <w:pBdr/>
      <w:spacing w:after="57"/>
      <w:ind w:right="0" w:firstLine="0" w:left="0"/>
    </w:pPr>
  </w:style>
  <w:style w:type="paragraph" w:styleId="419">
    <w:name w:val="toc 2"/>
    <w:basedOn w:val="247"/>
    <w:next w:val="247"/>
    <w:uiPriority w:val="39"/>
    <w:unhideWhenUsed/>
    <w:pPr>
      <w:pBdr/>
      <w:spacing w:after="57"/>
      <w:ind w:right="0" w:firstLine="0" w:left="283"/>
    </w:pPr>
  </w:style>
  <w:style w:type="paragraph" w:styleId="420">
    <w:name w:val="toc 3"/>
    <w:basedOn w:val="247"/>
    <w:next w:val="247"/>
    <w:uiPriority w:val="39"/>
    <w:unhideWhenUsed/>
    <w:pPr>
      <w:pBdr/>
      <w:spacing w:after="57"/>
      <w:ind w:right="0" w:firstLine="0" w:left="567"/>
    </w:pPr>
  </w:style>
  <w:style w:type="paragraph" w:styleId="421">
    <w:name w:val="toc 4"/>
    <w:basedOn w:val="247"/>
    <w:next w:val="247"/>
    <w:uiPriority w:val="39"/>
    <w:unhideWhenUsed/>
    <w:pPr>
      <w:pBdr/>
      <w:spacing w:after="57"/>
      <w:ind w:right="0" w:firstLine="0" w:left="850"/>
    </w:pPr>
  </w:style>
  <w:style w:type="paragraph" w:styleId="422">
    <w:name w:val="toc 5"/>
    <w:basedOn w:val="247"/>
    <w:next w:val="247"/>
    <w:uiPriority w:val="39"/>
    <w:unhideWhenUsed/>
    <w:pPr>
      <w:pBdr/>
      <w:spacing w:after="57"/>
      <w:ind w:right="0" w:firstLine="0" w:left="1134"/>
    </w:pPr>
  </w:style>
  <w:style w:type="paragraph" w:styleId="423">
    <w:name w:val="toc 6"/>
    <w:basedOn w:val="247"/>
    <w:next w:val="247"/>
    <w:uiPriority w:val="39"/>
    <w:unhideWhenUsed/>
    <w:pPr>
      <w:pBdr/>
      <w:spacing w:after="57"/>
      <w:ind w:right="0" w:firstLine="0" w:left="1417"/>
    </w:pPr>
  </w:style>
  <w:style w:type="paragraph" w:styleId="424">
    <w:name w:val="toc 7"/>
    <w:basedOn w:val="247"/>
    <w:next w:val="247"/>
    <w:uiPriority w:val="39"/>
    <w:unhideWhenUsed/>
    <w:pPr>
      <w:pBdr/>
      <w:spacing w:after="57"/>
      <w:ind w:right="0" w:firstLine="0" w:left="1701"/>
    </w:pPr>
  </w:style>
  <w:style w:type="paragraph" w:styleId="425">
    <w:name w:val="toc 8"/>
    <w:basedOn w:val="247"/>
    <w:next w:val="247"/>
    <w:uiPriority w:val="39"/>
    <w:unhideWhenUsed/>
    <w:pPr>
      <w:pBdr/>
      <w:spacing w:after="57"/>
      <w:ind w:right="0" w:firstLine="0" w:left="1984"/>
    </w:pPr>
  </w:style>
  <w:style w:type="paragraph" w:styleId="426">
    <w:name w:val="toc 9"/>
    <w:basedOn w:val="247"/>
    <w:next w:val="247"/>
    <w:uiPriority w:val="39"/>
    <w:unhideWhenUsed/>
    <w:pPr>
      <w:pBdr/>
      <w:spacing w:after="57"/>
      <w:ind w:right="0" w:firstLine="0" w:left="2268"/>
    </w:pPr>
  </w:style>
  <w:style w:type="paragraph" w:styleId="427">
    <w:name w:val="TOC Heading"/>
    <w:uiPriority w:val="39"/>
    <w:unhideWhenUsed/>
    <w:pPr>
      <w:pBdr/>
      <w:spacing/>
      <w:ind/>
    </w:pPr>
  </w:style>
  <w:style w:type="paragraph" w:styleId="428">
    <w:name w:val="table of figures"/>
    <w:basedOn w:val="247"/>
    <w:next w:val="247"/>
    <w:uiPriority w:val="99"/>
    <w:unhideWhenUsed/>
    <w:pPr>
      <w:pBdr/>
      <w:spacing w:after="0" w:afterAutospacing="0"/>
      <w:ind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admin</cp:lastModifiedBy>
  <cp:revision>2</cp:revision>
  <dcterms:created xsi:type="dcterms:W3CDTF">2024-06-19T06:30:03Z</dcterms:created>
  <dcterms:modified xsi:type="dcterms:W3CDTF">2024-06-19T06:42:33Z</dcterms:modified>
</cp:coreProperties>
</file>