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技术投标文件</w:t>
      </w:r>
    </w:p>
    <w:p>
      <w:pPr>
        <w:pStyle w:val="Heading2"/>
        <w:spacing w:line="360" w:lineRule="auto" w:before="0" w:after="0"/>
        <w:ind w:firstLine="420"/>
      </w:pPr>
      <w:r>
        <w:t>信用中国</w:t>
      </w:r>
    </w:p>
    <w:p>
      <w:pPr>
        <w:pStyle w:val="Heading4"/>
        <w:spacing w:line="360" w:lineRule="auto" w:before="0" w:after="0"/>
        <w:ind w:firstLine="420"/>
      </w:pPr>
      <w:r>
        <w:t>黑名单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