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6"/>
        </w:trPr>
        <w:tc>
          <w:tcPr>
            <w:tcW w:w="45" w:type="dxa"/>
            <w:vAlign w:val="center"/>
          </w:tcPr>
          <w:p>
            <w:pPr/>
          </w:p>
        </w:tc>
        <w:tc>
          <w:tcPr>
            <w:tcW w:w="8880" w:type="dxa"/>
            <w:vAlign w:val="center"/>
          </w:tcPr>
          <w:p>
            <w:pPr/>
          </w:p>
        </w:tc>
      </w:tr>
      <w:tr>
        <w:trPr>
          <w:trHeight w:val="3390"/>
          <w:tblCellSpacing w:w="0" w:type="dxa"/>
          <w:jc w:val="left"/>
          <w:divId w:val="6"/>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6"/>
        </w:trPr>
        <w:tc>
          <w:tcPr>
            <w:vAlign w:val="center"/>
          </w:tcPr>
          <w:p>
            <w:pPr/>
          </w:p>
        </w:tc>
      </w:tr>
      <w:tr>
        <w:trPr>
          <w:trHeight w:val="3390"/>
          <w:tblCellSpacing w:w="0" w:type="dxa"/>
          <w:jc w:val="left"/>
          <w:divId w:val="6"/>
        </w:trPr>
        <w:tc>
          <w:tcPr>
            <w:vAlign w:val="center"/>
          </w:tcPr>
          <w:p>
            <w:pPr/>
          </w:p>
        </w:tc>
        <w:tc>
          <w:tcPr/>
          <w:p>
            <w:pPr>
              <w:jc w:val="left"/>
              <w:rPr>
                <w:vanish w:val="0"/>
              </w:rPr>
            </w:pPr>
            <w:r>
              <w:pict>
                <v:shape id="_x0000_i1028" type="#_x0000_t75" style="width:444pt;height:169.5pt">
                  <v:imagedata r:id="rId2" o:title=""/>
                </v:shape>
              </w:pict>
            </w:r>
          </w:p>
        </w:tc>
      </w:tr>
    </w:tbl>
    <w:p>
      <w:pPr>
        <w:divId w:val="6"/>
        <w:spacing w:line="360" w:lineRule="atLeas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6"/>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6"/>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9"/>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9"/>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9"/>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9"/>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1"/>
        <w:rPr>
          <w:vanish w:val="0"/>
        </w:rPr>
      </w:pPr>
      <w:r>
        <w:pict>
          <v:shape id="_x0000_i1032" type="#_x0000_t75" style="width:0.75pt;height:0.75pt">
            <v:imagedata r:id="rId1" o:title=""/>
          </v:shape>
        </w:pic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0"/>
        <w:rPr>
          <w:vanish w:val="0"/>
        </w:rPr>
      </w:pPr>
      <w:r>
        <w:pict>
          <v:shape id="_x0000_i1033" type="#_x0000_t75" style="width:0.75pt;height:0.75pt">
            <v:imagedata r:id="rId1" o:title=""/>
          </v:shape>
        </w:pict>
      </w:r>
    </w:p>
    <w:p>
      <w:pPr>
        <w:pStyle w:val="Heading2"/>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0"/>
        <w:rPr>
          <w:vanish w:val="0"/>
        </w:rPr>
      </w:pPr>
      <w:r>
        <w:pict>
          <v:shape id="_x0000_i1034"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0"/>
        <w:rPr>
          <w:vanish w:val="0"/>
        </w:rPr>
      </w:pPr>
      <w:r>
        <w:pict>
          <v:shape id="_x0000_i1035"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1"/>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1"/>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1"/>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1"/>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1"/>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1"/>
        <w:jc w:val="center"/>
        <w:rPr>
          <w:vanish w:val="0"/>
        </w:rPr>
      </w:pPr>
      <w:bookmarkStart w:id="5" w:name="资格审核"/>
      <w:bookmarkEnd w:id="5"/>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0"/>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7"/>
        <w:rPr>
          <w:vanish w:val="0"/>
        </w:rPr>
      </w:pPr>
      <w:r>
        <w:pict>
          <v:shape id="_x0000_i1037" type="#_x0000_t75" style="width:0.75pt;height:0.75pt">
            <v:imagedata r:id="rId1" o:title=""/>
          </v:shape>
        </w:pict>
      </w:r>
    </w:p>
    <w:p>
      <w:pPr>
        <w:pStyle w:val="Heading2"/>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5"/>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5"/>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5"/>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8"/>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8"/>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7"/>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6"/>
        <w:rPr>
          <w:vanish w:val="0"/>
        </w:rPr>
      </w:pPr>
      <w:r>
        <w:pict>
          <v:shape id="_x0000_i1038" type="#_x0000_t75" style="width:0.75pt;height:0.75pt">
            <v:imagedata r:id="rId1" o:title=""/>
          </v:shape>
        </w:pict>
      </w: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7"/>
        <w:rPr>
          <w:vanish w:val="0"/>
        </w:rPr>
      </w:pPr>
      <w:r>
        <w:pict>
          <v:shape id="_x0000_i1039" type="#_x0000_t75" style="width:0.75pt;height:0.75pt">
            <v:imagedata r:id="rId1" o:title=""/>
          </v:shape>
        </w:pict>
      </w:r>
    </w:p>
    <w:p>
      <w:pPr>
        <w:pStyle w:val="Heading2"/>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1"/>
        <w:rPr>
          <w:vanish w:val="0"/>
        </w:rPr>
      </w:pPr>
      <w:r>
        <w:pict>
          <v:shape id="_x0000_i1040" type="#_x0000_t75" style="width:0.75pt;height:0.75pt">
            <v:imagedata r:id="rId1" o:title=""/>
          </v:shape>
        </w:pic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7"/>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7"/>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7"/>
        <w:rPr>
          <w:vanish w:val="0"/>
        </w:rPr>
      </w:pPr>
      <w:r>
        <w:br w:type="page"/>
      </w:r>
    </w:p>
    <w:p>
      <w:pPr>
        <w:divId w:val="35"/>
        <w:rPr>
          <w:vanish w:val="0"/>
        </w:rPr>
      </w:pPr>
      <w:r>
        <w:pict>
          <v:shape id="_x0000_i1042" type="#_x0000_t75" style="width:0.75pt;height:0.75pt">
            <v:imagedata r:id="rId1" o:title=""/>
          </v:shape>
        </w:pict>
      </w:r>
    </w:p>
    <w:p>
      <w:pPr>
        <w:pStyle w:val="Heading2"/>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3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3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3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3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3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3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3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5"/>
        <w:rPr>
          <w:vanish w:val="0"/>
        </w:rPr>
      </w:pPr>
      <w:r>
        <w:pict>
          <v:shape id="_x0000_i1043" type="#_x0000_t75" style="width:0.75pt;height:0.75pt">
            <v:imagedata r:id="rId1" o:title=""/>
          </v:shape>
        </w:pict>
      </w:r>
    </w:p>
    <w:p>
      <w:pPr>
        <w:pStyle w:val="Heading2"/>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1"/>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1"/>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1"/>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1"/>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3"/>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3"/>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rPr>
        <w:t xml:space="preserve">非联合体承诺</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致中国石油辽河油田招标中心：</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我公司此次投标为非联合体投标。</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投标人：</w:t>
      </w:r>
      <w:r>
        <w:rPr>
          <w:rFonts w:eastAsia="simsun"/>
          <w:b/>
        </w:rPr>
        <w:t xml:space="preserve">盘锦辽河油田华联实业集团有限公司</w:t>
      </w:r>
    </w:p>
    <w:p>
      <w:pPr>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日期 ：</w:t>
      </w:r>
      <w:r>
        <w:rPr>
          <w:rFonts w:eastAsia="simsun"/>
          <w:b/>
        </w:rPr>
        <w:t xml:space="preserve">2023年12月6日</w:t>
      </w:r>
    </w:p>
    <w:p>
      <w:pPr>
        <w:divId w:val="45"/>
        <w:rPr>
          <w:vanish w:val="0"/>
        </w:rPr>
      </w:pPr>
      <w:r>
        <w:pict>
          <v:shape id="_x0000_i104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9"/>
        <w:rPr>
          <w:vanish w:val="0"/>
        </w:rPr>
      </w:pPr>
      <w:r>
        <w:pict>
          <v:shape id="_x0000_i1047" type="#_x0000_t75" style="width:532.5pt;height:385.5pt">
            <v:imagedata r:id="rId3" o:title=""/>
          </v:shape>
        </w:pict>
      </w:r>
    </w:p>
    <w:p>
      <w:pPr>
        <w:divId w:val="45"/>
        <w:rPr>
          <w:vanish w:val="0"/>
        </w:rPr>
      </w:pPr>
      <w:r>
        <w:pict>
          <v:shape id="_x0000_i1048"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50"/>
        <w:rPr>
          <w:vanish w:val="0"/>
        </w:rPr>
      </w:pPr>
      <w:r>
        <w:pict>
          <v:shape id="_x0000_i1049" type="#_x0000_t75" style="width:431.25pt;height:266.25pt">
            <v:imagedata r:id="rId4" o:title=""/>
          </v:shape>
        </w:pict>
      </w:r>
    </w:p>
    <w:p>
      <w:pPr>
        <w:divId w:val="45"/>
        <w:rPr>
          <w:vanish w:val="0"/>
        </w:rPr>
      </w:pPr>
      <w:r>
        <w:pict>
          <v:shape id="_x0000_i1050"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1台7座商务车</w:t>
      </w:r>
    </w:p>
    <w:p>
      <w:pPr>
        <w:pStyle w:val="Heading4"/>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p>
      <w:pPr>
        <w:divId w:val="52"/>
        <w:rPr>
          <w:vanish w:val="0"/>
        </w:rPr>
      </w:pPr>
      <w:r>
        <w:pict>
          <v:shape id="_x0000_i1051" type="#_x0000_t75" style="width:660.47pt;height:934.03pt">
            <v:imagedata r:id="rId5" o:title=""/>
          </v:shape>
        </w:pict>
      </w:r>
    </w:p>
    <w:p>
      <w:pPr>
        <w:divId w:val="51"/>
        <w:rPr>
          <w:vanish w:val="0"/>
        </w:rPr>
      </w:pPr>
      <w:r>
        <w:pict>
          <v:shape id="_x0000_i1052" type="#_x0000_t75" style="width:0.75pt;height:0.75pt">
            <v:imagedata r:id="rId1" o:title=""/>
          </v:shape>
        </w:pic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53"/>
        <w:rPr>
          <w:vanish w:val="0"/>
        </w:rPr>
      </w:pPr>
      <w:r>
        <w:pict>
          <v:shape id="_x0000_i1053" type="#_x0000_t75" style="width:660.47pt;height:934.03pt">
            <v:imagedata r:id="rId6" o:title=""/>
          </v:shape>
        </w:pict>
      </w:r>
    </w:p>
    <w:p>
      <w:pPr>
        <w:divId w:val="51"/>
        <w:rPr>
          <w:vanish w:val="0"/>
        </w:rPr>
      </w:pPr>
      <w:r>
        <w:pict>
          <v:shape id="_x0000_i1054"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54"/>
        <w:rPr>
          <w:vanish w:val="0"/>
        </w:rPr>
      </w:pPr>
      <w:r>
        <w:pict>
          <v:shape id="_x0000_i1055" type="#_x0000_t75" style="width:660.47pt;height:941.65pt">
            <v:imagedata r:id="rId7" o:title=""/>
          </v:shape>
        </w:pict>
      </w:r>
    </w:p>
    <w:p>
      <w:pPr>
        <w:divId w:val="51"/>
        <w:rPr>
          <w:vanish w:val="0"/>
        </w:rPr>
      </w:pPr>
      <w:r>
        <w:pict>
          <v:shape id="_x0000_i1056"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55"/>
        <w:rPr>
          <w:vanish w:val="0"/>
        </w:rPr>
      </w:pPr>
      <w:r>
        <w:pict>
          <v:shape id="_x0000_i1057" type="#_x0000_t75" style="width:660.47pt;height:489.66pt">
            <v:imagedata r:id="rId8" o:title=""/>
          </v:shape>
        </w:pict>
      </w:r>
    </w:p>
    <w:p>
      <w:pPr>
        <w:divId w:val="45"/>
        <w:rPr>
          <w:vanish w:val="0"/>
        </w:rPr>
      </w:pPr>
      <w:r>
        <w:pict>
          <v:shape id="_x0000_i1058" type="#_x0000_t75" style="width:0.75pt;height:0.75pt">
            <v:imagedata r:id="rId1" o:title=""/>
          </v:shape>
        </w:pict>
      </w:r>
    </w:p>
    <w:p>
      <w:pPr>
        <w:pStyle w:val="Heading3"/>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2台越野车</w: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p>
      <w:pPr>
        <w:divId w:val="56"/>
        <w:rPr>
          <w:vanish w:val="0"/>
        </w:rPr>
      </w:pPr>
      <w:r>
        <w:pict>
          <v:shape id="_x0000_i1059"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56"/>
        <w:rPr>
          <w:vanish w:val="0"/>
        </w:rPr>
      </w:pPr>
      <w:r>
        <w:pict>
          <v:shape id="_x0000_i1060"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56"/>
        <w:rPr>
          <w:vanish w:val="0"/>
        </w:rPr>
      </w:pPr>
      <w:r>
        <w:pict>
          <v:shape id="_x0000_i1061" type="#_x0000_t75" style="width:0.75pt;height:0.75pt">
            <v:imagedata r:id="rId1" o:title=""/>
          </v:shape>
        </w:pic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45"/>
        <w:rPr>
          <w:vanish w:val="0"/>
        </w:rPr>
      </w:pPr>
      <w:r>
        <w:pict>
          <v:shape id="_x0000_i1062"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61"/>
        <w:rPr>
          <w:vanish w:val="0"/>
        </w:rPr>
      </w:pPr>
      <w:r>
        <w:pict>
          <v:shape id="_x0000_i1063" type="#_x0000_t75" style="width:660.47pt;height:438.58pt">
            <v:imagedata r:id="rId9" o:title=""/>
          </v:shape>
        </w:pict>
      </w:r>
    </w:p>
    <w:p>
      <w:pPr>
        <w:divId w:val="45"/>
        <w:rPr>
          <w:vanish w:val="0"/>
        </w:rPr>
      </w:pPr>
      <w:r>
        <w:pict>
          <v:shape id="_x0000_i1064" type="#_x0000_t75" style="width:0.75pt;height:0.75pt">
            <v:imagedata r:id="rId1" o:title=""/>
          </v:shape>
        </w:pict>
      </w:r>
    </w:p>
    <w:p>
      <w:pPr>
        <w:pStyle w:val="Heading3"/>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62"/>
        <w:rPr>
          <w:vanish w:val="0"/>
        </w:rPr>
      </w:pPr>
      <w:r>
        <w:pict>
          <v:shape id="_x0000_i1065" type="#_x0000_t75" style="width:660.47pt;height:394.29pt">
            <v:imagedata r:id="rId10" o:title=""/>
          </v:shape>
        </w:pict>
      </w:r>
    </w:p>
    <w:p>
      <w:pPr>
        <w:divId w:val="45"/>
        <w:rPr>
          <w:vanish w:val="0"/>
        </w:rPr>
      </w:pPr>
      <w:r>
        <w:pict>
          <v:shape id="_x0000_i1066" type="#_x0000_t75" style="width:0.75pt;height:0.75pt">
            <v:imagedata r:id="rId1" o:title=""/>
          </v:shape>
        </w:pic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63"/>
        <w:rPr>
          <w:vanish w:val="0"/>
        </w:rPr>
      </w:pPr>
      <w:r>
        <w:pict>
          <v:shape id="_x0000_i1067"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63"/>
        <w:rPr>
          <w:vanish w:val="0"/>
        </w:rPr>
      </w:pPr>
      <w:r>
        <w:pict>
          <v:shape id="_x0000_i1068"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63"/>
        <w:rPr>
          <w:vanish w:val="0"/>
        </w:rPr>
      </w:pPr>
      <w:r>
        <w:pict>
          <v:shape id="_x0000_i1069"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5"/>
        <w:rPr>
          <w:vanish w:val="0"/>
        </w:rPr>
      </w:pPr>
      <w:r>
        <w:pict>
          <v:shape id="_x0000_i1070" type="#_x0000_t75" style="width:0.75pt;height:0.75pt">
            <v:imagedata r:id="rId1" o:title=""/>
          </v:shape>
        </w:pict>
      </w:r>
    </w:p>
    <w:p>
      <w:pPr>
        <w:pStyle w:val="Heading3"/>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68"/>
        <w:rPr>
          <w:vanish w:val="0"/>
        </w:rPr>
      </w:pPr>
      <w:r>
        <w:pict>
          <v:shape id="_x0000_i1071" type="#_x0000_t75" style="width:660.47pt;height:279.94pt">
            <v:imagedata r:id="rId11" o:title=""/>
          </v:shape>
        </w:pict>
      </w:r>
    </w:p>
    <w:p>
      <w:pPr>
        <w:divId w:val="45"/>
        <w:rPr>
          <w:vanish w:val="0"/>
        </w:rPr>
      </w:pPr>
      <w:r>
        <w:pict>
          <v:shape id="_x0000_i1072" type="#_x0000_t75" style="width:0.75pt;height:0.75pt">
            <v:imagedata r:id="rId1" o:title=""/>
          </v:shape>
        </w:pict>
      </w:r>
    </w:p>
    <w:p>
      <w:pPr>
        <w:pStyle w:val="Heading3"/>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方正小标宋简体" w:eastAsia="方正小标宋简体" w:hAnsi="方正小标宋简体" w:cs="方正小标宋简体"/>
          <w:sz w:val="44"/>
        </w:rPr>
        <w:t xml:space="preserve">合规承诺书</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方正仿宋简体" w:eastAsia="方正仿宋简体" w:hAnsi="方正仿宋简体" w:cs="方正仿宋简体"/>
          <w:sz w:val="32"/>
        </w:rPr>
        <w:t xml:space="preserve">我单位在此郑重承诺，我们所提供的一切资料及其数据内容真实有效。过去</w:t>
      </w:r>
      <w:r>
        <w:rPr>
          <w:rFonts w:ascii="方正仿宋简体" w:eastAsia="方正仿宋简体" w:hAnsi="方正仿宋简体" w:cs="方正仿宋简体"/>
          <w:color w:val="FF0000"/>
          <w:sz w:val="32"/>
        </w:rPr>
        <w:t xml:space="preserve">三</w:t>
      </w:r>
      <w:r>
        <w:rPr>
          <w:rFonts w:ascii="方正仿宋简体" w:eastAsia="方正仿宋简体" w:hAnsi="方正仿宋简体" w:cs="方正仿宋简体"/>
          <w:sz w:val="32"/>
        </w:rPr>
        <w:t xml:space="preserve">年间在经营活动中具有良好的商业信誉，无违法记录和重大法律纠纷，不存在被有关机构列入黑名单或被制裁的情况，无出租、出借、转让经营资质证照等行为。</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方正仿宋简体" w:eastAsia="方正仿宋简体" w:hAnsi="方正仿宋简体" w:cs="方正仿宋简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承诺单位（盖章）：</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法定代表人</w:t>
      </w:r>
      <w:r>
        <w:rPr>
          <w:rFonts w:ascii="方正仿宋简体" w:eastAsia="方正仿宋简体" w:hAnsi="方正仿宋简体" w:cs="方正仿宋简体"/>
          <w:sz w:val="32"/>
        </w:rPr>
        <w:t xml:space="preserve">/</w:t>
      </w:r>
      <w:r>
        <w:rPr>
          <w:rFonts w:ascii="方正仿宋简体" w:eastAsia="方正仿宋简体" w:hAnsi="方正仿宋简体" w:cs="方正仿宋简体"/>
          <w:sz w:val="32"/>
        </w:rPr>
        <w:t xml:space="preserve">负责人</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或委托代理人（签字）：</w:t>
      </w:r>
    </w:p>
    <w:p>
      <w:pPr>
        <w:divId w:val="7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方正仿宋简体" w:eastAsia="方正仿宋简体" w:hAnsi="方正仿宋简体" w:cs="方正仿宋简体"/>
          <w:sz w:val="32"/>
        </w:rPr>
        <w:t xml:space="preserve">                                 </w:t>
      </w:r>
    </w:p>
    <w:p>
      <w:pPr>
        <w:divId w:val="44"/>
        <w:rPr>
          <w:vanish w:val="0"/>
        </w:rPr>
      </w:pPr>
      <w:r>
        <w:pict>
          <v:shape id="_x0000_i1073" type="#_x0000_t75" style="width:0.75pt;height:0.75pt">
            <v:imagedata r:id="rId1" o:title=""/>
          </v:shape>
        </w:pict>
      </w:r>
    </w:p>
    <w:p>
      <w:pPr>
        <w:pStyle w:val="Heading2"/>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73"/>
        <w:rPr>
          <w:vanish w:val="0"/>
        </w:rPr>
      </w:pPr>
      <w:r>
        <w:pict>
          <v:shape id="_x0000_i1074" type="#_x0000_t75" style="width:660.47pt;height:953.6pt">
            <v:imagedata r:id="rId12" o:title=""/>
          </v:shape>
        </w:pict>
      </w:r>
    </w:p>
    <w:p>
      <w:pPr>
        <w:divId w:val="72"/>
        <w:rPr>
          <w:vanish w:val="0"/>
        </w:rPr>
      </w:pPr>
      <w:r>
        <w:pict>
          <v:shape id="_x0000_i1075" type="#_x0000_t75" style="width:0.75pt;height:0.75pt">
            <v:imagedata r:id="rId1" o:title=""/>
          </v:shape>
        </w:pic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74"/>
        <w:rPr>
          <w:vanish w:val="0"/>
        </w:rPr>
      </w:pPr>
      <w:r>
        <w:pict>
          <v:shape id="_x0000_i1076" type="#_x0000_t75" style="width:453.75pt;height:655.5pt">
            <v:imagedata r:id="rId13" o:title=""/>
          </v:shape>
        </w:pict>
      </w:r>
    </w:p>
    <w:p>
      <w:pPr>
        <w:divId w:val="72"/>
        <w:rPr>
          <w:vanish w:val="0"/>
        </w:rPr>
      </w:pPr>
      <w:r>
        <w:pict>
          <v:shape id="_x0000_i1077" type="#_x0000_t75" style="width:0.75pt;height:0.75pt">
            <v:imagedata r:id="rId1" o:title=""/>
          </v:shape>
        </w:pict>
      </w:r>
    </w:p>
    <w:p>
      <w:pPr>
        <w:pStyle w:val="Heading4"/>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76"/>
        <w:rPr>
          <w:vanish w:val="0"/>
        </w:rPr>
      </w:pPr>
      <w:r>
        <w:pict>
          <v:shape id="_x0000_i1078" type="#_x0000_t75" style="width:453.75pt;height:655.5pt">
            <v:imagedata r:id="rId14" o:title=""/>
          </v:shape>
        </w:pict>
      </w:r>
    </w:p>
    <w:p>
      <w:pPr>
        <w:divId w:val="71"/>
        <w:rPr>
          <w:vanish w:val="0"/>
        </w:rPr>
      </w:pPr>
      <w:r>
        <w:pict>
          <v:shape id="_x0000_i1079" type="#_x0000_t75" style="width:0.75pt;height:0.75pt">
            <v:imagedata r:id="rId1" o:title=""/>
          </v:shape>
        </w:pict>
      </w:r>
    </w:p>
    <w:p>
      <w:pPr>
        <w:pStyle w:val="Heading3"/>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78"/>
        <w:rPr>
          <w:vanish w:val="0"/>
        </w:rPr>
      </w:pPr>
      <w:r>
        <w:pict>
          <v:shape id="_x0000_i1080" type="#_x0000_t75" style="width:0.75pt;height:0.75pt">
            <v:imagedata r:id="rId1" o:title=""/>
          </v:shape>
        </w:pict>
      </w:r>
    </w:p>
    <w:p>
      <w:pPr>
        <w:pStyle w:val="Heading5"/>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1"/>
        <w:rPr>
          <w:vanish w:val="0"/>
        </w:rPr>
      </w:pPr>
      <w:r>
        <w:pict>
          <v:shape id="_x0000_i1081"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82"/>
        <w:rPr>
          <w:vanish w:val="0"/>
        </w:rPr>
      </w:pPr>
      <w:r>
        <w:pict>
          <v:shape id="_x0000_i1082" type="#_x0000_t75" style="width:442.5pt;height:626.25pt">
            <v:imagedata r:id="rId15" o:title=""/>
          </v:shape>
        </w:pict>
      </w:r>
    </w:p>
    <w:p>
      <w:pPr>
        <w:divId w:val="71"/>
        <w:rPr>
          <w:vanish w:val="0"/>
        </w:rPr>
      </w:pPr>
      <w:r>
        <w:pict>
          <v:shape id="_x0000_i1083" type="#_x0000_t75" style="width:0.75pt;height:0.75pt">
            <v:imagedata r:id="rId1" o:title=""/>
          </v:shape>
        </w:pict>
      </w:r>
    </w:p>
    <w:p>
      <w:pPr>
        <w:pStyle w:val="Heading3"/>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4"/>
        <w:rPr>
          <w:vanish w:val="0"/>
        </w:rPr>
      </w:pPr>
      <w:r>
        <w:pict>
          <v:shape id="_x0000_i1084" type="#_x0000_t75" style="width:0.75pt;height:0.75pt">
            <v:imagedata r:id="rId1" o:title=""/>
          </v:shape>
        </w:pict>
      </w:r>
    </w:p>
    <w:p>
      <w:pPr>
        <w:pStyle w:val="Heading2"/>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pStyle w:val="Heading3"/>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30"/>
        </w:rPr>
        <w:t xml:space="preserve">  </w:t>
      </w:r>
      <w:r>
        <w:rPr>
          <w:rFonts w:eastAsia="simsun"/>
          <w:b/>
          <w:i w:val="0"/>
          <w:sz w:val="30"/>
        </w:rPr>
        <w:t xml:space="preserve">组织机构</w:t>
      </w:r>
    </w:p>
    <w:p>
      <w:pPr>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85"/>
        <w:rPr>
          <w:vanish w:val="0"/>
        </w:rPr>
      </w:pPr>
      <w:r>
        <w:pict>
          <v:shape id="_x0000_i1085" type="#_x0000_t75" style="width:0.75pt;height:0.75pt">
            <v:imagedata r:id="rId1" o:title=""/>
          </v:shape>
        </w:pict>
      </w:r>
    </w:p>
    <w:p>
      <w:pPr>
        <w:pStyle w:val="Heading4"/>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pStyle w:val="Heading2"/>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6" w:name="_Toc147590580"/>
      <w:bookmarkEnd w:id="6"/>
      <w:r>
        <w:rPr>
          <w:b/>
          <w:i w:val="0"/>
          <w:sz w:val="36"/>
        </w:rPr>
        <w:t xml:space="preserve">1</w:t>
      </w:r>
      <w:r>
        <w:rPr>
          <w:b/>
          <w:i w:val="0"/>
          <w:sz w:val="36"/>
        </w:rPr>
        <w:t xml:space="preserve">     </w:t>
      </w:r>
      <w:r>
        <w:rPr>
          <w:rFonts w:eastAsia="simsun"/>
          <w:b/>
          <w:i w:val="0"/>
          <w:sz w:val="36"/>
        </w:rPr>
        <w:t xml:space="preserve">项目施工组织管理机构组成</w:t>
      </w:r>
    </w:p>
    <w:tbl>
      <w:tblPr>
        <w:tblW w:w="0" w:type="auto"/>
        <w:jc w:val="lef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1464"/>
        <w:gridCol w:w="1201"/>
        <w:gridCol w:w="709"/>
        <w:gridCol w:w="709"/>
        <w:gridCol w:w="1068"/>
        <w:gridCol w:w="1636"/>
        <w:gridCol w:w="1710"/>
        <w:gridCol w:w="891"/>
        <w:gridCol w:w="525"/>
      </w:tblGrid>
      <w:tr>
        <w:trPr>
          <w:trHeight w:val="397"/>
          <w:jc w:val="left"/>
          <w:divId w:val="89"/>
        </w:trPr>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职务</w:t>
            </w:r>
          </w:p>
        </w:tc>
        <w:tc>
          <w:tcPr>
            <w:tcW w:w="113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姓名</w:t>
            </w:r>
          </w:p>
        </w:tc>
        <w:tc>
          <w:tcPr>
            <w:tcW w:w="567"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性别</w:t>
            </w:r>
          </w:p>
        </w:tc>
        <w:tc>
          <w:tcPr>
            <w:tcW w:w="567"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年龄</w:t>
            </w:r>
          </w:p>
        </w:tc>
        <w:tc>
          <w:tcPr>
            <w:tcW w:w="85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学历</w:t>
            </w:r>
          </w:p>
        </w:tc>
        <w:tc>
          <w:tcPr>
            <w:tcW w:w="1419"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职称</w:t>
            </w:r>
          </w:p>
        </w:tc>
        <w:tc>
          <w:tcPr>
            <w:tcW w:w="169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专业特长</w:t>
            </w:r>
          </w:p>
        </w:tc>
        <w:tc>
          <w:tcPr>
            <w:tcW w:w="76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从业时间</w:t>
            </w:r>
          </w:p>
        </w:tc>
        <w:tc>
          <w:tcPr>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备注</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法人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李正任</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53</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研究生</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工商管理</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26</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rPr>
              <w:t xml:space="preserve"> </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刘辉</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41</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财政学</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17</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397"/>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何亮</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41</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工程管理</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17</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安全员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席亮</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40</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助理工程师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计算机科学与技术</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16</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杨彩霞</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女</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42</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油气田开发</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21</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6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纪斌选</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45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本科</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工程师</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土木工程</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21</w:t>
            </w:r>
            <w:r>
              <w:rPr>
                <w:rFonts w:ascii="宋体" w:eastAsia="宋体" w:hAnsi="宋体" w:cs="宋体"/>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卜相新</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25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大学</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王磊</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40</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8</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姚小勇</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46</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10</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程强</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55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23</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张虹</w:t>
            </w:r>
            <w:r>
              <w:rPr>
                <w:rFonts w:ascii="宋体" w:eastAsia="宋体" w:hAnsi="宋体" w:cs="宋体"/>
                <w:color w:val="0C0C0C"/>
              </w:rPr>
              <w:t xml:space="preserve">浩</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46</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15</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张晨</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女</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35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大学</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13</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田兆友</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47</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18</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r>
        <w:trPr>
          <w:trHeight w:val="510"/>
          <w:jc w:val="left"/>
          <w:divId w:val="89"/>
        </w:trPr>
        <w:tc>
          <w:tcPr>
            <w:tcW w:w="1408"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操作人员</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李卫洪</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男</w:t>
            </w:r>
          </w:p>
        </w:tc>
        <w:tc>
          <w:tcPr>
            <w:tcW w:w="56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55</w:t>
            </w:r>
          </w:p>
        </w:tc>
        <w:tc>
          <w:tcPr>
            <w:tcW w:w="85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41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169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c>
          <w:tcPr>
            <w:tcW w:w="76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15</w:t>
            </w:r>
            <w:r>
              <w:rPr>
                <w:rFonts w:ascii="宋体" w:eastAsia="宋体" w:hAnsi="宋体" w:cs="宋体"/>
                <w:color w:val="0C0C0C"/>
              </w:rPr>
              <w:t xml:space="preserve">年</w:t>
            </w:r>
          </w:p>
        </w:tc>
        <w:tc>
          <w:tcPr>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color w:val="0C0C0C"/>
              </w:rPr>
              <w:t xml:space="preserve"> </w:t>
            </w:r>
          </w:p>
        </w:tc>
      </w:tr>
    </w:tbl>
    <w:p>
      <w:pPr>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 </w:t>
      </w:r>
    </w:p>
    <w:p>
      <w:pPr>
        <w:divId w:val="85"/>
        <w:rPr>
          <w:vanish w:val="0"/>
        </w:rPr>
      </w:pPr>
      <w:r>
        <w:pict>
          <v:shape id="_x0000_i1086" type="#_x0000_t75" style="width:0.75pt;height:0.75pt">
            <v:imagedata r:id="rId1" o:title=""/>
          </v:shape>
        </w:pic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85"/>
        <w:rPr>
          <w:vanish w:val="0"/>
        </w:rPr>
      </w:pPr>
      <w:r>
        <w:pict>
          <v:shape id="_x0000_i1087"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84"/>
        <w:rPr>
          <w:vanish w:val="0"/>
        </w:rPr>
      </w:pPr>
      <w:r>
        <w:pict>
          <v:shape id="_x0000_i1088" type="#_x0000_t75" style="width:0.75pt;height:0.75pt">
            <v:imagedata r:id="rId1" o:title=""/>
          </v:shape>
        </w:pict>
      </w:r>
    </w:p>
    <w:p>
      <w:pPr>
        <w:pStyle w:val="Heading3"/>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bookmarkStart w:id="7" w:name="_Toc176"/>
      <w:bookmarkEnd w:id="7"/>
      <w:bookmarkStart w:id="8" w:name="_Toc2057"/>
      <w:bookmarkEnd w:id="8"/>
      <w:bookmarkStart w:id="9" w:name="_Toc13758"/>
      <w:bookmarkEnd w:id="9"/>
      <w:bookmarkStart w:id="10" w:name="_Toc5745"/>
      <w:bookmarkEnd w:id="10"/>
      <w:bookmarkStart w:id="11" w:name="_Toc14168"/>
      <w:bookmarkEnd w:id="11"/>
      <w:bookmarkStart w:id="12" w:name="_Toc31866"/>
      <w:bookmarkEnd w:id="12"/>
      <w:bookmarkStart w:id="13" w:name="_Toc26454918"/>
      <w:bookmarkEnd w:id="13"/>
      <w:r>
        <w:rPr>
          <w:rFonts w:eastAsia="simsun"/>
        </w:rPr>
        <w:t xml:space="preserve">立足“质量就是效益，用户满意就是宗旨”，以保证服务质量为根本；根据总体服务方案，排出详细的服务计划，做到当天的工作量不过夜，保质保量完成每项运输任务。</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line="315" w:lineRule="atLeast"/>
        <w:rPr>
          <w:vanish w:val="0"/>
        </w:rPr>
      </w:pPr>
      <w:r>
        <w:rPr>
          <w:rFonts w:ascii="宋体" w:eastAsia="宋体" w:hAnsi="宋体" w:cs="宋体"/>
          <w:sz w:val="21"/>
        </w:rP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rPr>
          <w:vanish w:val="0"/>
        </w:rPr>
      </w:pPr>
      <w:r>
        <w:t xml:space="preserve"> </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14" w:name="_Toc15888"/>
      <w:bookmarkEnd w:id="14"/>
      <w:bookmarkStart w:id="15" w:name="_Toc29896"/>
      <w:bookmarkEnd w:id="15"/>
      <w:bookmarkStart w:id="16" w:name="_Toc18227"/>
      <w:bookmarkEnd w:id="16"/>
      <w:bookmarkStart w:id="17" w:name="_Toc1607"/>
      <w:bookmarkEnd w:id="17"/>
      <w:bookmarkStart w:id="18" w:name="_Toc15308"/>
      <w:bookmarkEnd w:id="18"/>
      <w:bookmarkStart w:id="19" w:name="_Toc4546"/>
      <w:bookmarkEnd w:id="19"/>
      <w:bookmarkStart w:id="20" w:name="_Toc12005"/>
      <w:bookmarkEnd w:id="20"/>
      <w:bookmarkStart w:id="21" w:name="_Toc23793"/>
      <w:bookmarkEnd w:id="21"/>
      <w:bookmarkStart w:id="22" w:name="_Toc12411"/>
      <w:bookmarkEnd w:id="22"/>
      <w:bookmarkStart w:id="23" w:name="_Toc30764"/>
      <w:bookmarkEnd w:id="23"/>
      <w:bookmarkStart w:id="24" w:name="_Toc16651"/>
      <w:bookmarkEnd w:id="24"/>
      <w:bookmarkStart w:id="25" w:name="_Toc31162"/>
      <w:bookmarkEnd w:id="25"/>
      <w:bookmarkStart w:id="26" w:name="_Toc16494"/>
      <w:bookmarkEnd w:id="26"/>
      <w:r>
        <w:rPr>
          <w:rFonts w:eastAsia="simsun"/>
          <w:b/>
          <w:i w:val="0"/>
          <w:sz w:val="30"/>
        </w:rPr>
        <w:t xml:space="preserve">1．</w:t>
      </w:r>
      <w:r>
        <w:rPr>
          <w:rFonts w:eastAsia="simsun"/>
          <w:b/>
          <w:i w:val="0"/>
          <w:sz w:val="30"/>
        </w:rPr>
        <w:t xml:space="preserve">质量保证体系</w:t>
      </w:r>
      <w:bookmarkStart w:id="27" w:name="_Toc6163"/>
      <w:bookmarkEnd w:id="27"/>
      <w:bookmarkStart w:id="28" w:name="_Toc20635"/>
      <w:bookmarkEnd w:id="28"/>
      <w:bookmarkStart w:id="29" w:name="_Toc2219"/>
      <w:bookmarkEnd w:id="29"/>
      <w:bookmarkStart w:id="30" w:name="_Toc11044"/>
      <w:bookmarkEnd w:id="30"/>
      <w:bookmarkStart w:id="31" w:name="_Toc27183"/>
      <w:bookmarkEnd w:id="31"/>
      <w:bookmarkStart w:id="32" w:name="_Toc10131"/>
      <w:bookmarkEnd w:id="32"/>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line="460" w:lineRule="atLeast"/>
        <w:ind w:firstLine="420"/>
        <w:rPr>
          <w:vanish w:val="0"/>
        </w:rPr>
      </w:pPr>
      <w:bookmarkStart w:id="33" w:name="_Toc22357"/>
      <w:bookmarkEnd w:id="33"/>
      <w:bookmarkStart w:id="34" w:name="_Toc10569"/>
      <w:bookmarkEnd w:id="34"/>
      <w:bookmarkStart w:id="35" w:name="_Toc3345"/>
      <w:bookmarkEnd w:id="35"/>
      <w:bookmarkStart w:id="36" w:name="_Toc1300"/>
      <w:bookmarkEnd w:id="36"/>
      <w:bookmarkStart w:id="37" w:name="_Toc20018"/>
      <w:bookmarkEnd w:id="37"/>
      <w:bookmarkStart w:id="38" w:name="_Toc31018"/>
      <w:bookmarkEnd w:id="38"/>
      <w:bookmarkStart w:id="39" w:name="_Toc20246"/>
      <w:bookmarkEnd w:id="39"/>
      <w:bookmarkStart w:id="40" w:name="_Toc14652"/>
      <w:bookmarkEnd w:id="40"/>
      <w:bookmarkStart w:id="41" w:name="_Toc23814"/>
      <w:bookmarkEnd w:id="41"/>
      <w:bookmarkStart w:id="42" w:name="_Toc12462"/>
      <w:bookmarkEnd w:id="42"/>
      <w:r>
        <w:rPr>
          <w:rFonts w:eastAsia="simsun"/>
        </w:rPr>
        <w:t xml:space="preserve">指挥部根据质量保证体系管理模式，建立健全以指挥长为第一责任人的工程质量管理领导小组，建立指挥部、各项目部、工区、施工队四级质量管理体系，从组织保证、思想保证、制度保证、施工质量保证、质量检查保证、经济保证、质量信息诸方面建立完善的质量保证体系。</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43" w:name="_Toc9434"/>
      <w:bookmarkEnd w:id="43"/>
      <w:bookmarkStart w:id="44" w:name="_Toc27671"/>
      <w:bookmarkEnd w:id="44"/>
      <w:bookmarkStart w:id="45" w:name="_Toc30144"/>
      <w:bookmarkEnd w:id="45"/>
      <w:bookmarkStart w:id="46" w:name="_Toc18377"/>
      <w:bookmarkEnd w:id="46"/>
      <w:r>
        <w:rPr>
          <w:rFonts w:eastAsia="simsun"/>
          <w:b/>
          <w:i w:val="0"/>
          <w:sz w:val="30"/>
        </w:rPr>
        <w:t xml:space="preserve">2．</w:t>
      </w:r>
      <w:r>
        <w:rPr>
          <w:rFonts w:eastAsia="simsun"/>
          <w:b/>
          <w:i w:val="0"/>
          <w:sz w:val="30"/>
        </w:rPr>
        <w:t xml:space="preserve">项目部人员质量职责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(1)</w:t>
      </w:r>
      <w:r>
        <w:rPr>
          <w:b/>
        </w:rPr>
        <w:t xml:space="preserve">  </w:t>
      </w:r>
      <w:r>
        <w:rPr>
          <w:rFonts w:eastAsia="simsun"/>
          <w:b/>
        </w:rPr>
        <w:t xml:space="preserve">项目负责人质量职责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负责服务项目日常的管理、协调，包括各个班组服务工作的安排，以及与服务方业务的沟通；</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协助项目经理做好各项工作的日常管理；</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组织各个部门制定质量管理措施、方案，制定质量处罚办法；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协助服务方做好日常的检查工作；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组织部门对员工进行服务技能的培训和考核；</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做好各项工作的统计工作；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做好员工的调配和新员工招聘申报工作；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h.</w:t>
      </w:r>
      <w:r>
        <w:t xml:space="preserve">   </w:t>
      </w:r>
      <w:r>
        <w:rPr>
          <w:rFonts w:eastAsia="simsun"/>
        </w:rPr>
        <w:t xml:space="preserve">指导班组严格按照岗位操作规程工作；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i.</w:t>
      </w:r>
      <w:r>
        <w:t xml:space="preserve">   </w:t>
      </w:r>
      <w:r>
        <w:rPr>
          <w:rFonts w:eastAsia="simsun"/>
        </w:rPr>
        <w:t xml:space="preserve">协助公司做好各种证件的办理、年检等工作；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j.</w:t>
      </w:r>
      <w:r>
        <w:t xml:space="preserve">   </w:t>
      </w:r>
      <w:r>
        <w:rPr>
          <w:rFonts w:eastAsia="simsun"/>
        </w:rPr>
        <w:t xml:space="preserve">做好采购材料的检验、使用管理工作。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(2)</w:t>
      </w:r>
      <w:r>
        <w:rPr>
          <w:b/>
        </w:rPr>
        <w:t xml:space="preserve">  </w:t>
      </w:r>
      <w:r>
        <w:rPr>
          <w:rFonts w:eastAsia="simsun"/>
          <w:b/>
        </w:rPr>
        <w:t xml:space="preserve">技术负责人质量职责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配合项目负责人完成编写服务方案和技术措施，监督技术方案的执行；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负责各个班组技术方案的编写，对员工进行必要的技术交底；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负责技术方案的改进编写工作；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深入各个班组落实技术方案的执行情况，并做好记录；</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负责技术书籍及资料的收集和保管，并有针对性的下发到员工手；</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不断完善技术标准的内容，使服务标准始终处于有效和适用；</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与服务方密切沟通，提出合理化建议，使我方服务项目顺利进行；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h.</w:t>
      </w:r>
      <w:r>
        <w:t xml:space="preserve">   </w:t>
      </w:r>
      <w:r>
        <w:rPr>
          <w:rFonts w:eastAsia="simsun"/>
        </w:rPr>
        <w:t xml:space="preserve">与各个部门沟通协调，使技术方案有效落实。</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jc w:val="both"/>
        <w:rPr>
          <w:vanish w:val="0"/>
        </w:rPr>
      </w:pPr>
      <w:r>
        <w:rPr>
          <w:b/>
        </w:rPr>
        <w:t xml:space="preserve">(3)</w:t>
      </w:r>
      <w:r>
        <w:rPr>
          <w:b/>
        </w:rPr>
        <w:t xml:space="preserve">  </w:t>
      </w:r>
      <w:r>
        <w:rPr>
          <w:rFonts w:eastAsia="simsun"/>
          <w:b/>
        </w:rPr>
        <w:t xml:space="preserve">班组长质量职责</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a.</w:t>
      </w:r>
      <w:r>
        <w:t xml:space="preserve">   </w:t>
      </w:r>
      <w:r>
        <w:rPr>
          <w:rFonts w:eastAsia="simsun"/>
        </w:rPr>
        <w:t xml:space="preserve">组织本班组人员落实日常各项工作；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b.</w:t>
      </w:r>
      <w:r>
        <w:t xml:space="preserve">   </w:t>
      </w:r>
      <w:r>
        <w:rPr>
          <w:rFonts w:eastAsia="simsun"/>
        </w:rPr>
        <w:t xml:space="preserve">负责组织维护保养生产设备，保证运行正常；</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c.</w:t>
      </w:r>
      <w:r>
        <w:t xml:space="preserve">   </w:t>
      </w:r>
      <w:r>
        <w:rPr>
          <w:rFonts w:eastAsia="simsun"/>
        </w:rPr>
        <w:t xml:space="preserve">负责监督班组人员劳保用品的穿戴；</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d.</w:t>
      </w:r>
      <w:r>
        <w:t xml:space="preserve">   </w:t>
      </w:r>
      <w:r>
        <w:rPr>
          <w:rFonts w:eastAsia="simsun"/>
        </w:rPr>
        <w:t xml:space="preserve">负责做好班前会议记录和服务日志；</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e.</w:t>
      </w:r>
      <w:r>
        <w:t xml:space="preserve">   </w:t>
      </w:r>
      <w:r>
        <w:rPr>
          <w:rFonts w:eastAsia="simsun"/>
        </w:rPr>
        <w:t xml:space="preserve">负责组织本班组人员按照操作规程、招标人工作安排组织工作；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f.</w:t>
      </w:r>
      <w:r>
        <w:t xml:space="preserve">   </w:t>
      </w:r>
      <w:r>
        <w:rPr>
          <w:rFonts w:eastAsia="simsun"/>
        </w:rPr>
        <w:t xml:space="preserve">负责监督检查班组人员服务质量是否按照标准执行；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845" w:hanging="425"/>
        <w:jc w:val="both"/>
        <w:rPr>
          <w:vanish w:val="0"/>
        </w:rPr>
      </w:pPr>
      <w:r>
        <w:t xml:space="preserve">g.</w:t>
      </w:r>
      <w:r>
        <w:t xml:space="preserve">   </w:t>
      </w:r>
      <w:r>
        <w:rPr>
          <w:rFonts w:eastAsia="simsun"/>
        </w:rPr>
        <w:t xml:space="preserve">配合公司组织的各项应急预案的演习；</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eastAsia="simsun"/>
        </w:rPr>
        <w:t xml:space="preserve">严格执行工艺纪律，抓好关键工序，保证服务质量。</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47" w:name="_Toc27184"/>
      <w:bookmarkEnd w:id="47"/>
      <w:bookmarkStart w:id="48" w:name="_Toc30870"/>
      <w:bookmarkEnd w:id="48"/>
      <w:bookmarkStart w:id="49" w:name="_Toc4016"/>
      <w:bookmarkEnd w:id="49"/>
      <w:bookmarkStart w:id="50" w:name="_Toc2295"/>
      <w:bookmarkEnd w:id="50"/>
      <w:r>
        <w:rPr>
          <w:rFonts w:eastAsia="simsun"/>
          <w:b/>
          <w:i w:val="0"/>
          <w:sz w:val="30"/>
        </w:rPr>
        <w:t xml:space="preserve">3．</w:t>
      </w:r>
      <w:r>
        <w:rPr>
          <w:rFonts w:eastAsia="simsun"/>
          <w:b/>
          <w:i w:val="0"/>
          <w:sz w:val="30"/>
        </w:rPr>
        <w:t xml:space="preserve">项目进度的保证措施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51" w:name="_Toc6369"/>
      <w:bookmarkEnd w:id="51"/>
      <w:bookmarkStart w:id="52" w:name="_Toc20398"/>
      <w:bookmarkEnd w:id="52"/>
      <w:bookmarkStart w:id="53" w:name="_Toc29675"/>
      <w:bookmarkEnd w:id="53"/>
      <w:bookmarkStart w:id="54" w:name="_Toc29751"/>
      <w:bookmarkEnd w:id="54"/>
      <w:bookmarkStart w:id="55" w:name="_Toc25025"/>
      <w:bookmarkEnd w:id="55"/>
      <w:bookmarkStart w:id="56" w:name="_Toc10671"/>
      <w:bookmarkEnd w:id="56"/>
      <w:r>
        <w:t xml:space="preserve">(1)</w:t>
      </w:r>
      <w:r>
        <w:t xml:space="preserve">  </w:t>
      </w:r>
      <w:r>
        <w:rPr>
          <w:rFonts w:eastAsia="simsun"/>
        </w:rPr>
        <w:t xml:space="preserve">强化指挥机构：选派经验丰富、专业能力强的领导干部组成精干、有力的项目经理部，在现场行使指挥职能，对业主负责，信守合同，协调服务，确保服务任务按期完成。</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57" w:name="_Toc24295"/>
      <w:bookmarkEnd w:id="57"/>
      <w:bookmarkStart w:id="58" w:name="_Toc23750"/>
      <w:bookmarkEnd w:id="58"/>
      <w:bookmarkStart w:id="59" w:name="_Toc8262"/>
      <w:bookmarkEnd w:id="59"/>
      <w:bookmarkStart w:id="60" w:name="_Toc10174"/>
      <w:bookmarkEnd w:id="60"/>
      <w:bookmarkStart w:id="61" w:name="_Toc23664"/>
      <w:bookmarkEnd w:id="61"/>
      <w:bookmarkStart w:id="62" w:name="_Toc288"/>
      <w:bookmarkEnd w:id="62"/>
      <w:r>
        <w:t xml:space="preserve">(2)</w:t>
      </w:r>
      <w:r>
        <w:t xml:space="preserve">  </w:t>
      </w:r>
      <w:r>
        <w:rPr>
          <w:rFonts w:eastAsia="simsun"/>
        </w:rPr>
        <w:t xml:space="preserve">投放精锐力量：精选服务队伍，在本公司内调动有丰富的类似服务项目经验的人员参加本项目的服务，同时投入足量的、适宜的车辆设备、机械设备、辅助设备和人员，发挥专业技术优势，提高作业进度。</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63" w:name="_Toc278"/>
      <w:bookmarkEnd w:id="63"/>
      <w:bookmarkStart w:id="64" w:name="_Toc30853"/>
      <w:bookmarkEnd w:id="64"/>
      <w:bookmarkStart w:id="65" w:name="_Toc25578"/>
      <w:bookmarkEnd w:id="65"/>
      <w:bookmarkStart w:id="66" w:name="_Toc27850"/>
      <w:bookmarkEnd w:id="66"/>
      <w:bookmarkStart w:id="67" w:name="_Toc1587"/>
      <w:bookmarkEnd w:id="67"/>
      <w:r>
        <w:t xml:space="preserve">(3)</w:t>
      </w:r>
      <w:r>
        <w:t xml:space="preserve">  </w:t>
      </w:r>
      <w:r>
        <w:rPr>
          <w:rFonts w:eastAsia="simsun"/>
        </w:rPr>
        <w:t xml:space="preserve">内部承包责任制：对参与服务生产的管理人员进行质量、安全、进度全过程责任承包管理，做到责任到人，最大限度激活职工的积极性和创造力。</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68" w:name="_Toc31677"/>
      <w:bookmarkEnd w:id="68"/>
      <w:bookmarkStart w:id="69" w:name="_Toc5081"/>
      <w:bookmarkEnd w:id="69"/>
      <w:bookmarkStart w:id="70" w:name="_Toc9430"/>
      <w:bookmarkEnd w:id="70"/>
      <w:bookmarkStart w:id="71" w:name="_Toc31603"/>
      <w:bookmarkEnd w:id="71"/>
      <w:bookmarkStart w:id="72" w:name="_Toc17758"/>
      <w:bookmarkEnd w:id="72"/>
      <w:bookmarkStart w:id="73" w:name="_Toc14027"/>
      <w:bookmarkEnd w:id="73"/>
      <w:r>
        <w:t xml:space="preserve">(4)</w:t>
      </w:r>
      <w:r>
        <w:t xml:space="preserve">  </w:t>
      </w:r>
      <w:r>
        <w:rPr>
          <w:rFonts w:eastAsia="simsun"/>
        </w:rPr>
        <w:t xml:space="preserve">做好后勤保障：对于易损、易坏的车辆设备、机械设备、辅助设备的配件作好储备和维修、保养工作，保障机械设备的完好率，避免由于设备故障而造成的不必要的停工。</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5" w:firstLine="420"/>
        <w:rPr>
          <w:vanish w:val="0"/>
        </w:rPr>
      </w:pPr>
      <w:bookmarkStart w:id="74" w:name="_Toc21022"/>
      <w:bookmarkEnd w:id="74"/>
      <w:bookmarkStart w:id="75" w:name="_Toc27175"/>
      <w:bookmarkEnd w:id="75"/>
      <w:bookmarkStart w:id="76" w:name="_Toc22683"/>
      <w:bookmarkEnd w:id="76"/>
      <w:bookmarkStart w:id="77" w:name="_Toc2723"/>
      <w:bookmarkEnd w:id="77"/>
      <w:bookmarkStart w:id="78" w:name="_Toc17921"/>
      <w:bookmarkEnd w:id="78"/>
      <w:bookmarkStart w:id="79" w:name="_Toc8498"/>
      <w:bookmarkEnd w:id="79"/>
      <w:r>
        <w:t xml:space="preserve">(5)</w:t>
      </w:r>
      <w:r>
        <w:t xml:space="preserve">  </w:t>
      </w:r>
      <w:r>
        <w:rPr>
          <w:rFonts w:eastAsia="simsun"/>
        </w:rPr>
        <w:t xml:space="preserve">作好服务准备：提前做好设备检修、人员安排与培训、现场调查，做到一经中标签订合同，立即组织队伍、设备进场，在较短的时间内组织服务到位。</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80" w:name="_Toc2433"/>
      <w:bookmarkEnd w:id="80"/>
      <w:bookmarkStart w:id="81" w:name="_Toc26214"/>
      <w:bookmarkEnd w:id="81"/>
      <w:bookmarkStart w:id="82" w:name="_Toc14300"/>
      <w:bookmarkEnd w:id="82"/>
      <w:r>
        <w:rPr>
          <w:rFonts w:eastAsia="simsun"/>
          <w:b/>
          <w:i w:val="0"/>
          <w:sz w:val="30"/>
        </w:rPr>
        <w:t xml:space="preserve">4．</w:t>
      </w:r>
      <w:r>
        <w:rPr>
          <w:rFonts w:eastAsia="simsun"/>
          <w:b/>
          <w:i w:val="0"/>
          <w:sz w:val="30"/>
        </w:rPr>
        <w:t xml:space="preserve">时间保证措施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83" w:name="_Toc13980"/>
      <w:bookmarkEnd w:id="83"/>
      <w:bookmarkStart w:id="84" w:name="_Toc27723"/>
      <w:bookmarkEnd w:id="84"/>
      <w:bookmarkStart w:id="85" w:name="_Toc8230"/>
      <w:bookmarkEnd w:id="85"/>
      <w:r>
        <w:rPr>
          <w:rFonts w:eastAsia="simsun"/>
        </w:rPr>
        <w:t xml:space="preserve">（</w:t>
      </w:r>
      <w:r>
        <w:t xml:space="preserve">1)</w:t>
      </w:r>
      <w:r>
        <w:rPr>
          <w:rFonts w:eastAsia="simsun"/>
        </w:rPr>
        <w:t xml:space="preserve">每天按照采油厂生产计划，早上编制完各班组路单，按路单要求，准时到达服务地点。不分时间、气候的限制，及时安排出车任务，全天</w:t>
      </w:r>
      <w:r>
        <w:t xml:space="preserve">24</w:t>
      </w:r>
      <w:r>
        <w:rPr>
          <w:rFonts w:eastAsia="simsun"/>
        </w:rPr>
        <w:t xml:space="preserve">小时服务，创造一切条件确保生产。</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86" w:name="_Toc32751"/>
      <w:bookmarkEnd w:id="86"/>
      <w:bookmarkStart w:id="87" w:name="_Toc7396"/>
      <w:bookmarkEnd w:id="87"/>
      <w:bookmarkStart w:id="88" w:name="_Toc13802"/>
      <w:bookmarkEnd w:id="88"/>
      <w:bookmarkStart w:id="89" w:name="_Toc19239"/>
      <w:bookmarkEnd w:id="89"/>
      <w:r>
        <w:t xml:space="preserve">(2)</w:t>
      </w:r>
      <w:r>
        <w:rPr>
          <w:rFonts w:eastAsia="simsun"/>
        </w:rPr>
        <w:t xml:space="preserve">加强交接班司机及车辆管理。交接班驾驶员每日交接班前到调度室签到，接受值班调度岗前检查、领取生产任务；替班司机上班期间不得离开采油厂，随时做好接替班准备，当生产值班车辆出现故障或事故时，替班司机要驾驶替班车辆第一时间赶到现场，接替生产，坚决保证生产的正常运行。</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90" w:name="_Toc5261"/>
      <w:bookmarkEnd w:id="90"/>
      <w:bookmarkStart w:id="91" w:name="_Toc24730"/>
      <w:bookmarkEnd w:id="91"/>
      <w:bookmarkStart w:id="92" w:name="_Toc23679"/>
      <w:bookmarkEnd w:id="92"/>
      <w:bookmarkStart w:id="93" w:name="_Toc25511"/>
      <w:bookmarkEnd w:id="93"/>
      <w:r>
        <w:rPr>
          <w:rFonts w:eastAsia="simsun"/>
        </w:rPr>
        <w:t xml:space="preserve">（</w:t>
      </w:r>
      <w:r>
        <w:t xml:space="preserve">3</w:t>
      </w:r>
      <w:r>
        <w:rPr>
          <w:rFonts w:eastAsia="simsun"/>
        </w:rPr>
        <w:t xml:space="preserve">）加强夜班车辆管理。夜班驾驶员每日定时到调度室签到，接受值班调度岗前检查、领取生产任务；每次出车、回场时间都必须在调度室登记、备案，签字确认，严防酒后驾驶、跑私车、回场不入库等违法违规行为发生。</w:t>
      </w:r>
    </w:p>
    <w:p>
      <w:pPr>
        <w:pStyle w:val="Heading3"/>
        <w:divId w:val="94"/>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94" w:name="_Toc28290"/>
      <w:bookmarkEnd w:id="94"/>
      <w:bookmarkStart w:id="95" w:name="_Toc1601"/>
      <w:bookmarkEnd w:id="95"/>
      <w:bookmarkStart w:id="96" w:name="_Toc11089"/>
      <w:bookmarkEnd w:id="96"/>
      <w:r>
        <w:rPr>
          <w:rFonts w:eastAsia="simsun"/>
          <w:b/>
          <w:i w:val="0"/>
          <w:sz w:val="30"/>
        </w:rPr>
        <w:t xml:space="preserve">5．</w:t>
      </w:r>
      <w:r>
        <w:rPr>
          <w:rFonts w:eastAsia="simsun"/>
          <w:b/>
          <w:i w:val="0"/>
          <w:sz w:val="30"/>
        </w:rPr>
        <w:t xml:space="preserve">服务质量保证措施</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97" w:name="_Toc28421"/>
      <w:bookmarkEnd w:id="97"/>
      <w:bookmarkStart w:id="98" w:name="_Toc11145"/>
      <w:bookmarkEnd w:id="98"/>
      <w:bookmarkStart w:id="99" w:name="_Toc6646"/>
      <w:bookmarkEnd w:id="99"/>
      <w:r>
        <w:rPr>
          <w:rFonts w:eastAsia="simsun"/>
        </w:rPr>
        <w:t xml:space="preserve">（</w:t>
      </w:r>
      <w:r>
        <w:t xml:space="preserve">1</w:t>
      </w:r>
      <w:r>
        <w:rPr>
          <w:rFonts w:eastAsia="simsun"/>
        </w:rPr>
        <w:t xml:space="preserve">）加强对运输过程中的质量控制，运输过程中严格执行操作规程与注意事项的内容，按照采油厂规定的路线行驶，在运输过程中做到无损坏工具，无安全事故。定期组织驾驶员学习岗位服务标准及安全操作知识，切实提高全员服务理念和安全意识。</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0" w:name="_Toc18612"/>
      <w:bookmarkEnd w:id="100"/>
      <w:bookmarkStart w:id="101" w:name="_Toc13440"/>
      <w:bookmarkEnd w:id="101"/>
      <w:bookmarkStart w:id="102" w:name="_Toc16015"/>
      <w:bookmarkEnd w:id="102"/>
      <w:bookmarkStart w:id="103" w:name="_Toc9294"/>
      <w:bookmarkEnd w:id="103"/>
      <w:r>
        <w:rPr>
          <w:rFonts w:eastAsia="simsun"/>
        </w:rPr>
        <w:t xml:space="preserve">（</w:t>
      </w:r>
      <w:r>
        <w:t xml:space="preserve">2</w:t>
      </w:r>
      <w:r>
        <w:rPr>
          <w:rFonts w:eastAsia="simsun"/>
        </w:rPr>
        <w:t xml:space="preserve">）驾驶员要求：严格执行安全行车十不准</w:t>
      </w:r>
      <w:r>
        <w:t xml:space="preserve">:</w:t>
      </w:r>
      <w:r>
        <w:rPr>
          <w:rFonts w:eastAsia="simsun"/>
        </w:rPr>
        <w:t xml:space="preserve">不准无证驾车、不准酒后驾车、不准超速行驶、不准空档行驶，不准抢道行驶、不准疲劳驾驶、不准使用手机聊天，不准不糸安全带、不准驾驶带病车、不准公车私用</w:t>
      </w:r>
      <w:r>
        <w:t xml:space="preserve"> </w:t>
      </w:r>
      <w:r>
        <w:rPr>
          <w:rFonts w:eastAsia="simsun"/>
        </w:rPr>
        <w:t xml:space="preserve">；要有良好的的心理素质和从业素质，不开英雄车，斗气车，霸王车，不违法会车、超车，要礼貌驾车、安全行驶，中途不乱丢拉圾。</w:t>
      </w:r>
      <w:r>
        <w:t xml:space="preserve">       </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4" w:name="_Toc11272"/>
      <w:bookmarkEnd w:id="104"/>
      <w:bookmarkStart w:id="105" w:name="_Toc26305"/>
      <w:bookmarkEnd w:id="105"/>
      <w:bookmarkStart w:id="106" w:name="_Toc23620"/>
      <w:bookmarkEnd w:id="106"/>
      <w:bookmarkStart w:id="107" w:name="_Toc19676"/>
      <w:bookmarkEnd w:id="107"/>
      <w:r>
        <w:rPr>
          <w:rFonts w:eastAsia="simsun"/>
        </w:rPr>
        <w:t xml:space="preserve">（</w:t>
      </w:r>
      <w:r>
        <w:t xml:space="preserve">3</w:t>
      </w:r>
      <w:r>
        <w:rPr>
          <w:rFonts w:eastAsia="simsun"/>
        </w:rPr>
        <w:t xml:space="preserve">）定期对车辆进行清扫，保证车辆整洁无异味。同时按照甲方的路单要求配备车辆。装运过程中，做足防护措施，行车前安排专人检查车辆的安全性能，雨雪天气对车辆装载的物品用篷布、雨布等防护用品遮盖好，确保“零”货损。</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08" w:name="_Toc18040"/>
      <w:bookmarkEnd w:id="108"/>
      <w:bookmarkStart w:id="109" w:name="_Toc6414"/>
      <w:bookmarkEnd w:id="109"/>
      <w:bookmarkStart w:id="110" w:name="_Toc24932"/>
      <w:bookmarkEnd w:id="110"/>
      <w:bookmarkStart w:id="111" w:name="_Toc18281"/>
      <w:bookmarkEnd w:id="111"/>
      <w:r>
        <w:rPr>
          <w:rFonts w:eastAsia="simsun"/>
        </w:rPr>
        <w:t xml:space="preserve">（</w:t>
      </w:r>
      <w:r>
        <w:t xml:space="preserve">4</w:t>
      </w:r>
      <w:r>
        <w:rPr>
          <w:rFonts w:eastAsia="simsun"/>
        </w:rPr>
        <w:t xml:space="preserve">）针对采油厂的实际情况，结合开发区施工、滨海路拉运芦苇、烧荒、地方百姓办酒席频繁等造成周边交通环境复杂，路检组要坚持每日上路检查，通报路况信息变化，做好每日出车前教育工作。</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2" w:name="_Toc2659"/>
      <w:bookmarkEnd w:id="112"/>
      <w:bookmarkStart w:id="113" w:name="_Toc15722"/>
      <w:bookmarkEnd w:id="113"/>
      <w:bookmarkStart w:id="114" w:name="_Toc21867"/>
      <w:bookmarkEnd w:id="114"/>
      <w:bookmarkStart w:id="115" w:name="_Toc15810"/>
      <w:bookmarkEnd w:id="115"/>
      <w:r>
        <w:rPr>
          <w:rFonts w:eastAsia="simsun"/>
        </w:rPr>
        <w:t xml:space="preserve">（</w:t>
      </w:r>
      <w:r>
        <w:t xml:space="preserve">5</w:t>
      </w:r>
      <w:r>
        <w:rPr>
          <w:rFonts w:eastAsia="simsun"/>
        </w:rPr>
        <w:t xml:space="preserve">）结合公司的质量、安全管理要求，加强驾驶员规范操作、文明驾驶、防御性驾驶的教育。安全组每日监督检查驾驶员出车前检查执行情况，路检组排出路检执行表，每日组织路检，监督检查驾驶员实际驾车过程中规范驾驶操作流程执行情况，生产会通报每日路检情况。</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6" w:name="_Toc27320"/>
      <w:bookmarkEnd w:id="116"/>
      <w:bookmarkStart w:id="117" w:name="_Toc31306"/>
      <w:bookmarkEnd w:id="117"/>
      <w:bookmarkStart w:id="118" w:name="_Toc26639"/>
      <w:bookmarkEnd w:id="118"/>
      <w:r>
        <w:rPr>
          <w:rFonts w:eastAsia="simsun"/>
        </w:rPr>
        <w:t xml:space="preserve">（</w:t>
      </w:r>
      <w:r>
        <w:t xml:space="preserve">6</w:t>
      </w:r>
      <w:r>
        <w:rPr>
          <w:rFonts w:eastAsia="simsun"/>
        </w:rPr>
        <w:t xml:space="preserve">）严格落实早班会、路检夜查、</w:t>
      </w:r>
      <w:r>
        <w:t xml:space="preserve">GPS</w:t>
      </w:r>
      <w:r>
        <w:rPr>
          <w:rFonts w:eastAsia="simsun"/>
        </w:rPr>
        <w:t xml:space="preserve">监控、回场告知、三交一封等交通安全管理制度，严厉查处酒后驾驶、疲劳驾驶、超速行驶等严重违法违规行为。制定安全专项检查表，并持表对安全管理制度、措施执行情况进行考核，确保为甲方提供最好的服务。</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19" w:name="_Toc16144"/>
      <w:bookmarkEnd w:id="119"/>
      <w:bookmarkStart w:id="120" w:name="_Toc28770"/>
      <w:bookmarkEnd w:id="120"/>
      <w:bookmarkStart w:id="121" w:name="_Toc25898"/>
      <w:bookmarkEnd w:id="121"/>
      <w:bookmarkStart w:id="122" w:name="_Toc21795"/>
      <w:bookmarkEnd w:id="122"/>
      <w:bookmarkStart w:id="123" w:name="_Toc24518"/>
      <w:bookmarkEnd w:id="123"/>
      <w:bookmarkStart w:id="124" w:name="_Toc22388"/>
      <w:bookmarkEnd w:id="124"/>
      <w:r>
        <w:rPr>
          <w:rFonts w:eastAsia="simsun"/>
        </w:rPr>
        <w:t xml:space="preserve">（</w:t>
      </w:r>
      <w:r>
        <w:t xml:space="preserve">7</w:t>
      </w:r>
      <w:r>
        <w:rPr>
          <w:rFonts w:eastAsia="simsun"/>
        </w:rPr>
        <w:t xml:space="preserve">）制定严格的服务质量奖惩制度，以制度规范服务行为。</w:t>
      </w:r>
    </w:p>
    <w:p>
      <w:pPr>
        <w:divId w:val="94"/>
        <w:pBdr>
          <w:top w:val="none" w:sz="0" w:space="0" w:color="auto"/>
          <w:left w:val="none" w:sz="0" w:space="0" w:color="auto"/>
          <w:bottom w:val="none" w:sz="0" w:space="0" w:color="auto"/>
          <w:right w:val="none" w:sz="0" w:space="0" w:color="auto"/>
        </w:pBdr>
        <w:shd w:val="clear" w:color="auto" w:fill="auto"/>
        <w:spacing w:beforeAutospacing="1" w:afterAutospacing="1"/>
        <w:ind w:left="420" w:firstLine="420"/>
        <w:rPr>
          <w:vanish w:val="0"/>
        </w:rPr>
      </w:pPr>
      <w:bookmarkStart w:id="125" w:name="_Toc27392"/>
      <w:bookmarkEnd w:id="125"/>
      <w:bookmarkStart w:id="126" w:name="_Toc18327"/>
      <w:bookmarkEnd w:id="126"/>
      <w:bookmarkStart w:id="127" w:name="_Toc16680"/>
      <w:bookmarkEnd w:id="127"/>
      <w:bookmarkStart w:id="128" w:name="_Toc29507"/>
      <w:bookmarkEnd w:id="128"/>
      <w:bookmarkStart w:id="129" w:name="_Toc10774"/>
      <w:bookmarkEnd w:id="129"/>
      <w:bookmarkStart w:id="130" w:name="_Toc13919"/>
      <w:bookmarkEnd w:id="130"/>
      <w:r>
        <w:rPr>
          <w:rFonts w:eastAsia="simsun"/>
        </w:rPr>
        <w:t xml:space="preserve">（</w:t>
      </w:r>
      <w:r>
        <w:t xml:space="preserve">8</w:t>
      </w:r>
      <w:r>
        <w:rPr>
          <w:rFonts w:eastAsia="simsun"/>
        </w:rPr>
        <w:t xml:space="preserve">）注重对重点任务重点对待，保质保量的完成采油厂下发的出车任务。</w:t>
      </w:r>
    </w:p>
    <w:p>
      <w:pPr>
        <w:divId w:val="92"/>
        <w:rPr>
          <w:vanish w:val="0"/>
        </w:rPr>
      </w:pPr>
      <w:r>
        <w:pict>
          <v:shape id="_x0000_i1089"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84"/>
        <w:rPr>
          <w:vanish w:val="0"/>
        </w:rPr>
      </w:pPr>
      <w:r>
        <w:pict>
          <v:shape id="_x0000_i1090" type="#_x0000_t75" style="width:0.75pt;height:0.75pt">
            <v:imagedata r:id="rId1" o:title=""/>
          </v:shape>
        </w:pict>
      </w:r>
    </w:p>
    <w:p>
      <w:pPr>
        <w:pStyle w:val="Heading3"/>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ind w:left="418" w:firstLine="422"/>
        <w:rPr>
          <w:vanish w:val="0"/>
        </w:rPr>
      </w:pPr>
      <w:r>
        <w:rPr>
          <w:rFonts w:eastAsia="simsun"/>
        </w:rPr>
        <w:t xml:space="preserve">经项目相关人员对施工作业活动的危害和影响进行识别，并采用危险性分析法和风险矩阵方法，对危害进行评价。</w:t>
      </w:r>
    </w:p>
    <w:p>
      <w:pPr>
        <w:pStyle w:val="Heading3"/>
        <w:divId w:val="98"/>
        <w:pBdr>
          <w:top w:val="none" w:sz="0" w:space="0" w:color="auto"/>
          <w:left w:val="none" w:sz="0" w:space="0" w:color="auto"/>
          <w:bottom w:val="none" w:sz="0" w:space="0" w:color="auto"/>
          <w:right w:val="none" w:sz="0" w:space="0" w:color="auto"/>
        </w:pBdr>
        <w:shd w:val="clear" w:color="auto" w:fill="auto"/>
        <w:spacing w:beforeAutospacing="1" w:afterAutospacing="1"/>
        <w:ind w:left="-190"/>
        <w:rPr>
          <w:vanish w:val="0"/>
        </w:rPr>
      </w:pPr>
      <w:bookmarkStart w:id="131" w:name="_Toc19134"/>
      <w:bookmarkEnd w:id="131"/>
      <w:bookmarkStart w:id="132" w:name="_Toc18933"/>
      <w:bookmarkEnd w:id="132"/>
      <w:bookmarkStart w:id="133" w:name="_Toc18272"/>
      <w:bookmarkEnd w:id="133"/>
      <w:r>
        <w:rPr>
          <w:rFonts w:eastAsia="simsun"/>
          <w:b/>
          <w:i w:val="0"/>
          <w:sz w:val="30"/>
        </w:rPr>
        <w:t xml:space="preserve">1．</w:t>
      </w:r>
      <w:r>
        <w:rPr>
          <w:rFonts w:eastAsia="simsun"/>
          <w:b/>
          <w:i w:val="0"/>
          <w:sz w:val="30"/>
        </w:rPr>
        <w:t xml:space="preserve">风险识别及防范措施表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404"/>
        <w:gridCol w:w="878"/>
        <w:gridCol w:w="2809"/>
        <w:gridCol w:w="1082"/>
        <w:gridCol w:w="4950"/>
      </w:tblGrid>
      <w:tr>
        <w:trPr>
          <w:trHeight w:val="423"/>
          <w:jc w:val="center"/>
          <w:divId w:val="99"/>
        </w:trPr>
        <w:tc>
          <w:tcPr>
            <w:tcW w:w="540" w:type="dxa"/>
            <w:tcBorders>
              <w:top w:val="single" w:sz="12" w:space="0" w:color="auto"/>
              <w:left w:val="single" w:sz="12" w:space="0" w:color="auto"/>
              <w:bottom w:val="single" w:sz="8" w:space="0" w:color="auto"/>
              <w:right w:val="single" w:sz="8" w:space="0" w:color="auto"/>
              <w:insideH w:val="single" w:sz="4" w:space="0" w:color="auto"/>
              <w:insideV w:val="single" w:sz="4"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序号</w:t>
            </w:r>
          </w:p>
        </w:tc>
        <w:tc>
          <w:tcPr>
            <w:tcW w:w="978"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危害及影响</w:t>
            </w:r>
          </w:p>
        </w:tc>
        <w:tc>
          <w:tcPr>
            <w:tcW w:w="2481"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产生原因</w:t>
            </w:r>
          </w:p>
        </w:tc>
        <w:tc>
          <w:tcPr>
            <w:tcW w:w="1134" w:type="dxa"/>
            <w:tcBorders>
              <w:top w:val="single" w:sz="12"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危害程度</w:t>
            </w:r>
          </w:p>
        </w:tc>
        <w:tc>
          <w:tcPr>
            <w:tcW w:w="3969" w:type="dxa"/>
            <w:tcBorders>
              <w:top w:val="single" w:sz="12"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防范措施</w:t>
            </w:r>
          </w:p>
        </w:tc>
      </w:tr>
      <w:tr>
        <w:trPr>
          <w:trHeight w:val="822"/>
          <w:jc w:val="center"/>
          <w:divId w:val="99"/>
        </w:trPr>
        <w:tc>
          <w:tcPr>
            <w:tcW w:w="540" w:type="dxa"/>
            <w:vMerge w:val="restart"/>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w:t>
            </w:r>
          </w:p>
        </w:tc>
        <w:tc>
          <w:tcPr>
            <w:tcW w:w="978"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运输</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过程</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t xml:space="preserve"> </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超载</w:t>
            </w:r>
            <w:r>
              <w:t xml:space="preserve"> </w:t>
            </w:r>
            <w:r>
              <w:rPr>
                <w:rFonts w:eastAsia="simsun"/>
              </w:rPr>
              <w:t xml:space="preserve">超速</w:t>
            </w:r>
            <w:r>
              <w:t xml:space="preserve"> </w:t>
            </w:r>
            <w:r>
              <w:rPr>
                <w:rFonts w:eastAsia="simsun"/>
              </w:rPr>
              <w:t xml:space="preserve">刹车失灵或爆胎</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定期检查刹车、</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更换轮胎</w:t>
            </w:r>
          </w:p>
        </w:tc>
      </w:tr>
      <w:tr>
        <w:trPr>
          <w:trHeight w:val="647"/>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有明火</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火灾事故</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加强人员教育，加强安全监督检查</w:t>
            </w:r>
          </w:p>
        </w:tc>
      </w:tr>
      <w:tr>
        <w:trPr>
          <w:trHeight w:val="647"/>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设备、物品等绑扎不牢，滑动、倾倒、掉落</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交通事故</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按要求检查绑扎牢固后方可启动车辆</w:t>
            </w:r>
          </w:p>
        </w:tc>
      </w:tr>
      <w:tr>
        <w:trPr>
          <w:trHeight w:val="64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2</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车辆</w:t>
            </w:r>
            <w:r>
              <w:t xml:space="preserve">  </w:t>
            </w:r>
            <w:r>
              <w:rPr>
                <w:rFonts w:eastAsia="simsun"/>
              </w:rPr>
              <w:t xml:space="preserve">保养</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保养不到位</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发动机故障</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及时进行保养</w:t>
            </w:r>
          </w:p>
        </w:tc>
      </w:tr>
      <w:tr>
        <w:trPr>
          <w:trHeight w:val="64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3</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季节</w:t>
            </w:r>
            <w:r>
              <w:t xml:space="preserve">  </w:t>
            </w:r>
            <w:r>
              <w:rPr>
                <w:rFonts w:eastAsia="simsun"/>
              </w:rPr>
              <w:t xml:space="preserve">转换</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机油、防冻液更换不及时</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发动机故障</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及时更换</w:t>
            </w:r>
          </w:p>
        </w:tc>
      </w:tr>
      <w:tr>
        <w:trPr>
          <w:trHeight w:val="90"/>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4</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eastAsia="simsun"/>
              </w:rPr>
              <w:t xml:space="preserve">车辆</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加油</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吸烟、接打手机等</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火灾爆炸</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rPr>
              <w:t xml:space="preserve">严格遵守场站防火规定</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加强人员教育</w:t>
            </w:r>
          </w:p>
        </w:tc>
      </w:tr>
      <w:tr>
        <w:trPr>
          <w:trHeight w:val="1017"/>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5</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车辆三田防火</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高温烟气、火星</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火灾</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所有施工车辆安装防火帽</w:t>
            </w:r>
          </w:p>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w:t>
            </w:r>
          </w:p>
        </w:tc>
      </w:tr>
      <w:tr>
        <w:trPr>
          <w:trHeight w:val="623"/>
          <w:jc w:val="center"/>
          <w:divId w:val="99"/>
        </w:trPr>
        <w:tc>
          <w:tcPr>
            <w:tcW w:w="540" w:type="dxa"/>
            <w:vMerge w:val="restart"/>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6</w:t>
            </w:r>
          </w:p>
        </w:tc>
        <w:tc>
          <w:tcPr>
            <w:tcW w:w="978"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吊装作业</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违章作业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现场按规定布置安全作业区，并摆放施工警示牌，装卸过程中，严格按照制定的健康安全环境施工方案实施</w:t>
            </w:r>
            <w:r>
              <w:rPr>
                <w:rFonts w:eastAsia="simsun"/>
              </w:rPr>
              <w:t xml:space="preserve">；</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吊装钢丝绳不标准、损坏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定期检查更换</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吊点不牢、吊物捆绑不牢</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起吊前做好试吊</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离吊物太近</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使用牵引绳</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吊车超负荷提升</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严禁超负荷</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指挥信号不明确时进行吊装作业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明确信号后吊装</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捆绑、吊挂不牢或不平衡可能引起吊物滑动</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吊物捆扎牢固</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吊装作业时被吊物上有人或有浮置物</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吊物上严禁上人或物</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遇有拉力不清的埋置物体时进行吊装作业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拉力不清的严禁吊装</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吊装作业时对吊装物进行歪拉斜吊</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严禁歪拉斜吊</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工作场地昏暗，无法看清场地和被吊物</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吊装现场照明达到要求</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吊装运行路线上有障碍物或下方有人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专人指挥</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施工时了望不够</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专人指挥</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千斤腿未垫枕木或基础不牢</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垫枕木及基础牢固</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吊钩防脱销损坏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物体打击</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每日检查维护确保完好</w:t>
            </w:r>
          </w:p>
        </w:tc>
      </w:tr>
      <w:tr>
        <w:trPr>
          <w:trHeight w:val="623"/>
          <w:jc w:val="center"/>
          <w:divId w:val="99"/>
        </w:trPr>
        <w:tc>
          <w:tcPr>
            <w:tcW w:w="540" w:type="dxa"/>
            <w:vMerge/>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
        </w:tc>
        <w:tc>
          <w:tcPr>
            <w:tcW w:w="978"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color w:val="000000"/>
                <w:sz w:val="20"/>
              </w:rPr>
              <w:t xml:space="preserve">起重臂刮碰电力线路</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color w:val="000000"/>
                <w:sz w:val="20"/>
              </w:rPr>
              <w:t xml:space="preserve">触电</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与电力线保持安全距离</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7</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施工噪声污染</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机械设备产生噪声</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center"/>
              <w:rPr>
                <w:vanish w:val="0"/>
              </w:rPr>
            </w:pPr>
            <w:r>
              <w:rPr>
                <w:rFonts w:eastAsia="simsun"/>
              </w:rPr>
              <w:t xml:space="preserve">噪声伤害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采取配备耳塞等保护措施</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严格执行操作规程</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8</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尘毒污染</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施工产生灰尘污染</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影响身体健康</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配备口罩、护目镜防护措施</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采取洒水等除尘措施</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9</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违章指挥、操作</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不执行管理制度</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不遵守操作规程</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安全意识淡薄</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监督检查不到</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影响身体健康</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加强教育培训和监督检查，</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定期进行考核</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10</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爆炸</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易燃物品引发火灾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施工作业用火引发火灾</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营地用火引发火灾</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人员伤亡及财产损失</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消防器材配备齐全，保证有效</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落实防火措施、制度，及时消除火险隐患</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用电设备安装保护装置</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4 </w:t>
            </w:r>
            <w:r>
              <w:rPr>
                <w:rFonts w:eastAsia="simsun"/>
              </w:rPr>
              <w:t xml:space="preserve">规范现场用火制度，严格三田防火制度</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加强管理和人员应急培训，经常检查</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11</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机械</w:t>
            </w:r>
            <w:r>
              <w:t xml:space="preserve">  </w:t>
            </w:r>
            <w:r>
              <w:rPr>
                <w:rFonts w:eastAsia="simsun"/>
              </w:rPr>
              <w:t xml:space="preserve">伤害</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设备传动、转动部位防护装置失效、残缺</w:t>
            </w:r>
            <w:r>
              <w:t xml:space="preserve">;</w:t>
            </w:r>
            <w:r>
              <w:rPr>
                <w:rFonts w:eastAsia="simsun"/>
              </w:rPr>
              <w:t xml:space="preserve">设备发生机械故障</w:t>
            </w:r>
            <w:r>
              <w:t xml:space="preserve">;</w:t>
            </w:r>
            <w:r>
              <w:rPr>
                <w:rFonts w:eastAsia="simsun"/>
              </w:rPr>
              <w:t xml:space="preserve">操作失误</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严格按岗位、设备操作规程操作，杜绝违章操作</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设备安全防护设施齐全、完好</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定期检查维护设备，保证本质安全</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4 </w:t>
            </w:r>
            <w:r>
              <w:rPr>
                <w:rFonts w:eastAsia="simsun"/>
              </w:rPr>
              <w:t xml:space="preserve">非操作人员严禁启动设备</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12</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交通</w:t>
            </w:r>
            <w:r>
              <w:t xml:space="preserve">  </w:t>
            </w:r>
            <w:r>
              <w:rPr>
                <w:rFonts w:eastAsia="simsun"/>
              </w:rPr>
              <w:t xml:space="preserve">事故</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操作失误</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第二方因素</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道路环境</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财产损失</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1 </w:t>
            </w:r>
            <w:r>
              <w:rPr>
                <w:rFonts w:eastAsia="simsun"/>
              </w:rPr>
              <w:t xml:space="preserve">遵守交通规则，限速行驶</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2 </w:t>
            </w:r>
            <w:r>
              <w:rPr>
                <w:rFonts w:eastAsia="simsun"/>
              </w:rPr>
              <w:t xml:space="preserve">熟悉掌握地形、环境、线路</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3 </w:t>
            </w:r>
            <w:r>
              <w:rPr>
                <w:rFonts w:eastAsia="simsun"/>
              </w:rPr>
              <w:t xml:space="preserve">坚持日常车辆检查，不带病出车</w:t>
            </w:r>
          </w:p>
          <w:p>
            <w:pPr>
              <w:pBdr>
                <w:top w:val="none" w:sz="0" w:space="0" w:color="auto"/>
                <w:left w:val="none" w:sz="0" w:space="0" w:color="auto"/>
                <w:bottom w:val="none" w:sz="0" w:space="0" w:color="auto"/>
                <w:right w:val="none" w:sz="0" w:space="0" w:color="auto"/>
              </w:pBdr>
              <w:shd w:val="clear" w:color="auto" w:fill="auto"/>
              <w:spacing w:beforeAutospacing="1" w:afterAutospacing="1"/>
              <w:jc w:val="both"/>
              <w:rPr>
                <w:vanish w:val="0"/>
              </w:rPr>
            </w:pPr>
            <w:r>
              <w:t xml:space="preserve">4 </w:t>
            </w:r>
            <w:r>
              <w:rPr>
                <w:rFonts w:eastAsia="simsun"/>
              </w:rPr>
              <w:t xml:space="preserve">坚持日常培训教育，加强紧急情况处理能力训练</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5 </w:t>
            </w:r>
            <w:r>
              <w:rPr>
                <w:rFonts w:eastAsia="simsun"/>
              </w:rPr>
              <w:t xml:space="preserve">落实雨季、冬季强化措施</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13</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物体</w:t>
            </w:r>
            <w:r>
              <w:t xml:space="preserve">  </w:t>
            </w:r>
            <w:r>
              <w:rPr>
                <w:rFonts w:eastAsia="simsun"/>
              </w:rPr>
              <w:t xml:space="preserve">打击</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违章操作；设备故障</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物料放置不稳定</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加装安全防护网等，严格执行操作规程，安全附件定定期检查校验。</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14</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触电</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用电设备漏电</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1</w:t>
            </w:r>
            <w:r>
              <w:rPr>
                <w:rFonts w:eastAsia="simsun"/>
              </w:rPr>
              <w:t xml:space="preserve">定期检查用电设备电气线路完好情况</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t xml:space="preserve">2</w:t>
            </w:r>
            <w:r>
              <w:rPr>
                <w:rFonts w:eastAsia="simsun"/>
              </w:rPr>
              <w:t xml:space="preserve">配备漏电保护装置并定期检查</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15</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rPr>
                <w:rFonts w:eastAsia="simsun"/>
              </w:rPr>
              <w:t xml:space="preserve">塌方</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挖掘作业防护不到位</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人身伤害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rPr>
                <w:vanish w:val="0"/>
              </w:rPr>
            </w:pPr>
            <w:r>
              <w:rPr>
                <w:rFonts w:eastAsia="simsun"/>
              </w:rPr>
              <w:t xml:space="preserve">严格按照操作规程进行施工、并进行合理防护</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16</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both"/>
              <w:rPr>
                <w:vanish w:val="0"/>
              </w:rPr>
            </w:pPr>
            <w:r>
              <w:rPr>
                <w:rFonts w:eastAsia="simsun"/>
              </w:rPr>
              <w:t xml:space="preserve">设备平整场地</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rPr>
                <w:vanish w:val="0"/>
              </w:rPr>
            </w:pPr>
            <w:r>
              <w:rPr>
                <w:rFonts w:eastAsia="simsun"/>
              </w:rPr>
              <w:t xml:space="preserve">非专业人员操作，防护措施不全，非施工人员进入作业现场</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jc w:val="both"/>
              <w:rPr>
                <w:vanish w:val="0"/>
              </w:rPr>
            </w:pPr>
            <w:r>
              <w:rPr>
                <w:rFonts w:eastAsia="simsun"/>
              </w:rPr>
              <w:t xml:space="preserve">人员伤害</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专业人员操</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作现场专人监督</w:t>
            </w:r>
          </w:p>
          <w:p>
            <w:pPr>
              <w:pBdr>
                <w:top w:val="none" w:sz="0" w:space="0" w:color="auto"/>
                <w:left w:val="none" w:sz="0" w:space="0" w:color="auto"/>
                <w:bottom w:val="none" w:sz="0" w:space="0" w:color="auto"/>
                <w:right w:val="none" w:sz="0" w:space="0" w:color="auto"/>
              </w:pBdr>
              <w:shd w:val="clear" w:color="auto" w:fill="auto"/>
              <w:spacing w:beforeAutospacing="1" w:afterAutospacing="1" w:line="276" w:lineRule="auto"/>
              <w:ind w:firstLine="420"/>
              <w:rPr>
                <w:vanish w:val="0"/>
              </w:rPr>
            </w:pPr>
            <w:r>
              <w:rPr>
                <w:rFonts w:eastAsia="simsun"/>
              </w:rPr>
              <w:t xml:space="preserve">严格执行操作规程</w:t>
            </w:r>
          </w:p>
        </w:tc>
      </w:tr>
      <w:tr>
        <w:trPr>
          <w:trHeight w:val="623"/>
          <w:jc w:val="center"/>
          <w:divId w:val="99"/>
        </w:trPr>
        <w:tc>
          <w:tcPr>
            <w:tcW w:w="540" w:type="dxa"/>
            <w:tcBorders>
              <w:top w:val="none" w:sz="0" w:space="0" w:color="auto"/>
              <w:left w:val="single" w:sz="12"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17</w:t>
            </w:r>
          </w:p>
        </w:tc>
        <w:tc>
          <w:tcPr>
            <w:tcW w:w="97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硫化氢气体危害</w:t>
            </w:r>
          </w:p>
        </w:tc>
        <w:tc>
          <w:tcPr>
            <w:tcW w:w="248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rPr>
                <w:vanish w:val="0"/>
              </w:rPr>
            </w:pPr>
            <w:r>
              <w:rPr>
                <w:rFonts w:eastAsia="simsun"/>
              </w:rPr>
              <w:t xml:space="preserve">井口硫化氢气体泄漏</w:t>
            </w:r>
          </w:p>
        </w:tc>
        <w:tc>
          <w:tcPr>
            <w:tcW w:w="113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both"/>
              <w:rPr>
                <w:vanish w:val="0"/>
              </w:rPr>
            </w:pPr>
            <w:r>
              <w:rPr>
                <w:rFonts w:eastAsia="simsun"/>
              </w:rPr>
              <w:t xml:space="preserve">人员伤亡</w:t>
            </w:r>
          </w:p>
        </w:tc>
        <w:tc>
          <w:tcPr>
            <w:tcW w:w="3969" w:type="dxa"/>
            <w:tcBorders>
              <w:top w:val="none" w:sz="0" w:space="0" w:color="auto"/>
              <w:left w:val="none" w:sz="0" w:space="0" w:color="auto"/>
              <w:bottom w:val="single" w:sz="8"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1 </w:t>
            </w:r>
            <w:r>
              <w:rPr>
                <w:rFonts w:eastAsia="simsun"/>
              </w:rPr>
              <w:t xml:space="preserve">经常性进行硫化氢气体检测</w:t>
            </w:r>
          </w:p>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2 </w:t>
            </w:r>
            <w:r>
              <w:rPr>
                <w:rFonts w:eastAsia="simsun"/>
              </w:rPr>
              <w:t xml:space="preserve">发现症状及时治理，医疗服务到位</w:t>
            </w:r>
          </w:p>
          <w:p>
            <w:pPr>
              <w:pBdr>
                <w:top w:val="none" w:sz="0" w:space="0" w:color="auto"/>
                <w:left w:val="none" w:sz="0" w:space="0" w:color="auto"/>
                <w:bottom w:val="none" w:sz="0" w:space="0" w:color="auto"/>
                <w:right w:val="none" w:sz="0" w:space="0" w:color="auto"/>
              </w:pBdr>
              <w:shd w:val="clear" w:color="auto" w:fill="auto"/>
              <w:spacing w:beforeAutospacing="1" w:afterAutospacing="1"/>
              <w:ind w:firstLine="420"/>
              <w:jc w:val="both"/>
              <w:rPr>
                <w:vanish w:val="0"/>
              </w:rPr>
            </w:pPr>
            <w:r>
              <w:t xml:space="preserve">3 </w:t>
            </w:r>
            <w:r>
              <w:rPr>
                <w:rFonts w:eastAsia="simsun"/>
              </w:rPr>
              <w:t xml:space="preserve">保证相关医疗用品齐全、到位</w:t>
            </w:r>
          </w:p>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ind w:firstLine="420"/>
              <w:jc w:val="both"/>
              <w:rPr>
                <w:vanish w:val="0"/>
              </w:rPr>
            </w:pPr>
            <w:r>
              <w:t xml:space="preserve">4 </w:t>
            </w:r>
            <w:r>
              <w:rPr>
                <w:rFonts w:eastAsia="simsun"/>
              </w:rPr>
              <w:t xml:space="preserve">建立医疗依托系统</w:t>
            </w:r>
          </w:p>
        </w:tc>
      </w:tr>
      <w:tr>
        <w:trPr>
          <w:trHeight w:val="623"/>
          <w:jc w:val="center"/>
          <w:divId w:val="99"/>
        </w:trPr>
        <w:tc>
          <w:tcPr>
            <w:tcW w:w="540" w:type="dxa"/>
            <w:tcBorders>
              <w:top w:val="none" w:sz="0" w:space="0" w:color="auto"/>
              <w:left w:val="single" w:sz="12"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00" w:lineRule="atLeast"/>
              <w:jc w:val="center"/>
              <w:rPr>
                <w:vanish w:val="0"/>
              </w:rPr>
            </w:pPr>
            <w:r>
              <w:t xml:space="preserve">18</w:t>
            </w:r>
          </w:p>
        </w:tc>
        <w:tc>
          <w:tcPr>
            <w:tcW w:w="978"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240" w:lineRule="atLeast"/>
              <w:jc w:val="center"/>
              <w:rPr>
                <w:vanish w:val="0"/>
              </w:rPr>
            </w:pPr>
            <w:r>
              <w:rPr>
                <w:rFonts w:eastAsia="simsun"/>
              </w:rPr>
              <w:t xml:space="preserve">高温</w:t>
            </w:r>
            <w:r>
              <w:t xml:space="preserve">  </w:t>
            </w:r>
            <w:r>
              <w:rPr>
                <w:rFonts w:eastAsia="simsun"/>
              </w:rPr>
              <w:t xml:space="preserve">中暑</w:t>
            </w:r>
          </w:p>
        </w:tc>
        <w:tc>
          <w:tcPr>
            <w:tcW w:w="2481"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夏季天气炎热野外施工</w:t>
            </w:r>
          </w:p>
        </w:tc>
        <w:tc>
          <w:tcPr>
            <w:tcW w:w="1134" w:type="dxa"/>
            <w:tcBorders>
              <w:top w:val="none" w:sz="0" w:space="0" w:color="auto"/>
              <w:left w:val="none" w:sz="0" w:space="0" w:color="auto"/>
              <w:bottom w:val="single" w:sz="12"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健康伤害</w:t>
            </w:r>
          </w:p>
        </w:tc>
        <w:tc>
          <w:tcPr>
            <w:tcW w:w="3969" w:type="dxa"/>
            <w:tcBorders>
              <w:top w:val="none" w:sz="0" w:space="0" w:color="auto"/>
              <w:left w:val="none" w:sz="0" w:space="0" w:color="auto"/>
              <w:bottom w:val="single" w:sz="12" w:space="0" w:color="auto"/>
              <w:right w:val="single" w:sz="12"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400" w:lineRule="atLeast"/>
              <w:rPr>
                <w:vanish w:val="0"/>
              </w:rPr>
            </w:pPr>
            <w:r>
              <w:rPr>
                <w:rFonts w:eastAsia="simsun"/>
              </w:rPr>
              <w:t xml:space="preserve">配备饮用水、防暑药物，合理安排施工时间。施工人员进行轮换作业。</w:t>
            </w:r>
          </w:p>
        </w:tc>
      </w:tr>
    </w:tbl>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15" w:lineRule="atLeast"/>
        <w:rPr>
          <w:vanish w:val="0"/>
        </w:rPr>
      </w:pPr>
      <w:r>
        <w:rPr>
          <w:rFonts w:ascii="宋体" w:eastAsia="宋体" w:hAnsi="宋体" w:cs="宋体"/>
          <w:sz w:val="21"/>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t xml:space="preserve"> </w:t>
      </w:r>
    </w:p>
    <w:p>
      <w:pPr>
        <w:divId w:val="96"/>
        <w:rPr>
          <w:vanish w:val="0"/>
        </w:rPr>
      </w:pPr>
      <w:r>
        <w:pict>
          <v:shape id="_x0000_i1091" type="#_x0000_t75" style="width:0.75pt;height:0.75pt">
            <v:imagedata r:id="rId1" o:title=""/>
          </v:shape>
        </w:pict>
      </w:r>
    </w:p>
    <w:p>
      <w:pPr>
        <w:pStyle w:val="Heading4"/>
        <w:divId w:val="10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pStyle w:val="Heading2"/>
        <w:divId w:val="102"/>
        <w:pBdr>
          <w:top w:val="none" w:sz="0" w:space="0" w:color="auto"/>
          <w:left w:val="none" w:sz="0" w:space="0" w:color="auto"/>
          <w:bottom w:val="none" w:sz="0" w:space="0" w:color="auto"/>
          <w:right w:val="none" w:sz="0" w:space="0" w:color="auto"/>
        </w:pBdr>
        <w:shd w:val="clear" w:color="auto" w:fill="auto"/>
        <w:spacing w:beforeAutospacing="1" w:afterAutospacing="1"/>
        <w:ind w:left="0"/>
        <w:rPr>
          <w:vanish w:val="0"/>
        </w:rPr>
      </w:pPr>
      <w:bookmarkStart w:id="134" w:name="_Toc416"/>
      <w:bookmarkEnd w:id="134"/>
      <w:bookmarkStart w:id="135" w:name="_Toc2617"/>
      <w:bookmarkEnd w:id="135"/>
    </w:p>
    <w:p>
      <w:pPr>
        <w:divId w:val="96"/>
        <w:rPr>
          <w:vanish w:val="0"/>
        </w:rPr>
      </w:pPr>
      <w:r>
        <w:pict>
          <v:shape id="_x0000_i1092" type="#_x0000_t75" style="width:0.75pt;height:0.75pt">
            <v:imagedata r:id="rId1" o:title=""/>
          </v:shape>
        </w:pict>
      </w:r>
    </w:p>
    <w:p>
      <w:pPr>
        <w:pStyle w:val="Heading4"/>
        <w:divId w:val="10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pStyle w:val="Heading4"/>
        <w:divId w:val="10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10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106"/>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t xml:space="preserve"> </w:t>
      </w:r>
    </w:p>
    <w:p>
      <w:pPr>
        <w:divId w:val="106"/>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黑体" w:eastAsia="宋体" w:hAnsi="黑体" w:cs="黑体"/>
          <w:b/>
        </w:rPr>
        <w:t xml:space="preserve">2 </w:t>
      </w:r>
      <w:r>
        <w:rPr>
          <w:rFonts w:eastAsia="simsun"/>
          <w:b/>
        </w:rPr>
        <w:t xml:space="preserve">组织机构与职责</w:t>
      </w:r>
    </w:p>
    <w:p>
      <w:pPr>
        <w:divId w:val="106"/>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p>
    <w:p>
      <w:pPr>
        <w:divId w:val="96"/>
        <w:rPr>
          <w:vanish w:val="0"/>
        </w:rPr>
      </w:pPr>
      <w:r>
        <w:pict>
          <v:shape id="_x0000_i1093" type="#_x0000_t75" style="width:0.75pt;height:0.75pt">
            <v:imagedata r:id="rId1" o:title=""/>
          </v:shape>
        </w:pict>
      </w:r>
    </w:p>
    <w:p>
      <w:pPr>
        <w:divId w:val="10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84"/>
        <w:rPr>
          <w:vanish w:val="0"/>
        </w:rPr>
      </w:pPr>
      <w:r>
        <w:pict>
          <v:shape id="_x0000_i1094" type="#_x0000_t75" style="width:0.75pt;height:0.75pt">
            <v:imagedata r:id="rId1" o:title=""/>
          </v:shape>
        </w:pict>
      </w:r>
    </w:p>
    <w:p>
      <w:pPr>
        <w:pStyle w:val="Heading3"/>
        <w:divId w:val="10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服务保障能力</w:t>
      </w:r>
    </w:p>
    <w:p>
      <w:pPr>
        <w:pStyle w:val="Heading4"/>
        <w:divId w:val="1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109"/>
        <w:rPr>
          <w:vanish w:val="0"/>
        </w:rPr>
      </w:pPr>
      <w:r>
        <w:pict>
          <v:shape id="_x0000_i1095" type="#_x0000_t75" style="width:0.75pt;height:0.75pt">
            <v:imagedata r:id="rId1" o:title=""/>
          </v:shape>
        </w:pict>
      </w:r>
    </w:p>
    <w:p>
      <w:pPr>
        <w:pStyle w:val="Heading4"/>
        <w:divId w:val="1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行驶证扫描件或照片</w:t>
      </w:r>
    </w:p>
    <w:p>
      <w:pPr>
        <w:divId w:val="109"/>
        <w:rPr>
          <w:vanish w:val="0"/>
        </w:rPr>
      </w:pPr>
      <w:r>
        <w:pict>
          <v:shape id="_x0000_i1096" type="#_x0000_t75" style="width:0.75pt;height:0.75pt">
            <v:imagedata r:id="rId1" o:title=""/>
          </v:shape>
        </w:pict>
      </w:r>
    </w:p>
    <w:p>
      <w:pPr>
        <w:pStyle w:val="Heading4"/>
        <w:divId w:val="1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车辆牌照的车辆照片</w:t>
      </w:r>
    </w:p>
    <w:p>
      <w:pPr>
        <w:divId w:val="84"/>
        <w:rPr>
          <w:vanish w:val="0"/>
        </w:rPr>
      </w:pPr>
      <w:r>
        <w:pict>
          <v:shape id="_x0000_i1097" type="#_x0000_t75" style="width:0.75pt;height:0.75pt">
            <v:imagedata r:id="rId1" o:title=""/>
          </v:shape>
        </w:pict>
      </w:r>
    </w:p>
    <w:p>
      <w:pPr>
        <w:pStyle w:val="Heading3"/>
        <w:divId w:val="1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1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产权证明</w:t>
      </w:r>
    </w:p>
    <w:p>
      <w:pPr>
        <w:divId w:val="113"/>
        <w:rPr>
          <w:vanish w:val="0"/>
        </w:rPr>
      </w:pPr>
      <w:r>
        <w:pict>
          <v:shape id="_x0000_i1098" type="#_x0000_t75" style="width:0.75pt;height:0.75pt">
            <v:imagedata r:id="rId1" o:title=""/>
          </v:shape>
        </w:pict>
      </w:r>
    </w:p>
    <w:p>
      <w:pPr>
        <w:pStyle w:val="Heading4"/>
        <w:divId w:val="1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113"/>
        <w:rPr>
          <w:vanish w:val="0"/>
        </w:rPr>
      </w:pPr>
      <w:r>
        <w:pict>
          <v:shape id="_x0000_i1099" type="#_x0000_t75" style="width:0.75pt;height:0.75pt">
            <v:imagedata r:id="rId1" o:title=""/>
          </v:shape>
        </w:pict>
      </w:r>
    </w:p>
    <w:p>
      <w:pPr>
        <w:pStyle w:val="Heading4"/>
        <w:divId w:val="1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承诺书</w:t>
      </w:r>
    </w:p>
    <w:p>
      <w:pPr>
        <w:divId w:val="44"/>
        <w:rPr>
          <w:vanish w:val="0"/>
        </w:rPr>
      </w:pPr>
      <w:r>
        <w:pict>
          <v:shape id="_x0000_i1100" type="#_x0000_t75" style="width:0.75pt;height:0.75pt">
            <v:imagedata r:id="rId1" o:title=""/>
          </v:shape>
        </w:pict>
      </w:r>
    </w:p>
    <w:p>
      <w:pPr>
        <w:divId w:val="120"/>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sChild>
            <w:div w:id="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sChild>
        <w:div w:id="9">
          <w:marLeft w:val="0"/>
          <w:marRight w:val="0"/>
          <w:marTop w:val="-20"/>
          <w:marBottom w:val="-20"/>
          <w:divBdr>
            <w:top w:val="none" w:sz="0" w:space="0" w:color="auto"/>
            <w:left w:val="none" w:sz="0" w:space="0" w:color="auto"/>
            <w:bottom w:val="none" w:sz="0" w:space="0" w:color="auto"/>
            <w:right w:val="none" w:sz="0" w:space="0" w:color="auto"/>
          </w:divBdr>
        </w:div>
      </w:divsChild>
    </w:div>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sChild>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sChild>
    </w:div>
    <w:div w:id="17">
      <w:marLeft w:val="0"/>
      <w:marRight w:val="0"/>
      <w:marTop w:val="-20"/>
      <w:marBottom w:val="-20"/>
      <w:divBdr>
        <w:top w:val="none" w:sz="0" w:space="0" w:color="auto"/>
        <w:left w:val="none" w:sz="0" w:space="0" w:color="auto"/>
        <w:bottom w:val="none" w:sz="0" w:space="0" w:color="auto"/>
        <w:right w:val="none" w:sz="0" w:space="0" w:color="auto"/>
      </w:divBdr>
      <w:divsChild>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4">
          <w:marLeft w:val="0"/>
          <w:marRight w:val="0"/>
          <w:marTop w:val="-20"/>
          <w:marBottom w:val="-20"/>
          <w:divBdr>
            <w:top w:val="none" w:sz="0" w:space="0" w:color="auto"/>
            <w:left w:val="none" w:sz="0" w:space="0" w:color="auto"/>
            <w:bottom w:val="none" w:sz="0" w:space="0" w:color="auto"/>
            <w:right w:val="none" w:sz="0" w:space="0" w:color="auto"/>
          </w:divBdr>
          <w:divsChild>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sChild>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
                  </w:divsChild>
                </w:div>
                <w:div w:id="29">
                  <w:marLeft w:val="0"/>
                  <w:marRight w:val="0"/>
                  <w:marTop w:val="-20"/>
                  <w:marBottom w:val="-20"/>
                  <w:divBdr>
                    <w:top w:val="none" w:sz="0" w:space="0" w:color="auto"/>
                    <w:left w:val="none" w:sz="0" w:space="0" w:color="auto"/>
                    <w:bottom w:val="none" w:sz="0" w:space="0" w:color="auto"/>
                    <w:right w:val="none" w:sz="0" w:space="0" w:color="auto"/>
                  </w:divBdr>
                </w:div>
                <w:div w:id="3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
          </w:divsChild>
        </w:div>
        <w:div w:id="38">
          <w:marLeft w:val="0"/>
          <w:marRight w:val="0"/>
          <w:marTop w:val="-20"/>
          <w:marBottom w:val="-20"/>
          <w:divBdr>
            <w:top w:val="none" w:sz="0" w:space="0" w:color="auto"/>
            <w:left w:val="none" w:sz="0" w:space="0" w:color="auto"/>
            <w:bottom w:val="none" w:sz="0" w:space="0" w:color="auto"/>
            <w:right w:val="none" w:sz="0" w:space="0" w:color="auto"/>
          </w:divBdr>
          <w:divsChild>
            <w:div w:id="39">
              <w:marLeft w:val="0"/>
              <w:marRight w:val="0"/>
              <w:marTop w:val="-20"/>
              <w:marBottom w:val="-20"/>
              <w:divBdr>
                <w:top w:val="none" w:sz="0" w:space="0" w:color="auto"/>
                <w:left w:val="none" w:sz="0" w:space="0" w:color="auto"/>
                <w:bottom w:val="none" w:sz="0" w:space="0" w:color="auto"/>
                <w:right w:val="none" w:sz="0" w:space="0" w:color="auto"/>
              </w:divBdr>
            </w:div>
          </w:divsChild>
        </w:div>
        <w:div w:id="40">
          <w:marLeft w:val="0"/>
          <w:marRight w:val="0"/>
          <w:marTop w:val="-20"/>
          <w:marBottom w:val="-20"/>
          <w:divBdr>
            <w:top w:val="none" w:sz="0" w:space="0" w:color="auto"/>
            <w:left w:val="none" w:sz="0" w:space="0" w:color="auto"/>
            <w:bottom w:val="none" w:sz="0" w:space="0" w:color="auto"/>
            <w:right w:val="none" w:sz="0" w:space="0" w:color="auto"/>
          </w:divBdr>
          <w:divsChild>
            <w:div w:id="4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sChild>
    </w:div>
    <w:div w:id="44">
      <w:marLeft w:val="0"/>
      <w:marRight w:val="0"/>
      <w:marTop w:val="-20"/>
      <w:marBottom w:val="-20"/>
      <w:divBdr>
        <w:top w:val="none" w:sz="0" w:space="0" w:color="auto"/>
        <w:left w:val="none" w:sz="0" w:space="0" w:color="auto"/>
        <w:bottom w:val="none" w:sz="0" w:space="0" w:color="auto"/>
        <w:right w:val="none" w:sz="0" w:space="0" w:color="auto"/>
      </w:divBdr>
      <w:divsChild>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sChild>
            </w:div>
            <w:div w:id="48">
              <w:marLeft w:val="0"/>
              <w:marRight w:val="0"/>
              <w:marTop w:val="-20"/>
              <w:marBottom w:val="-20"/>
              <w:divBdr>
                <w:top w:val="none" w:sz="0" w:space="0" w:color="auto"/>
                <w:left w:val="none" w:sz="0" w:space="0" w:color="auto"/>
                <w:bottom w:val="none" w:sz="0" w:space="0" w:color="auto"/>
                <w:right w:val="none" w:sz="0" w:space="0" w:color="auto"/>
              </w:divBdr>
              <w:divsChild>
                <w:div w:id="49">
                  <w:marLeft w:val="0"/>
                  <w:marRight w:val="0"/>
                  <w:marTop w:val="-20"/>
                  <w:marBottom w:val="-20"/>
                  <w:divBdr>
                    <w:top w:val="none" w:sz="0" w:space="0" w:color="auto"/>
                    <w:left w:val="none" w:sz="0" w:space="0" w:color="auto"/>
                    <w:bottom w:val="none" w:sz="0" w:space="0" w:color="auto"/>
                    <w:right w:val="none" w:sz="0" w:space="0" w:color="auto"/>
                  </w:divBdr>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sChild>
            </w:div>
            <w:div w:id="56">
              <w:marLeft w:val="0"/>
              <w:marRight w:val="0"/>
              <w:marTop w:val="-20"/>
              <w:marBottom w:val="-20"/>
              <w:divBdr>
                <w:top w:val="none" w:sz="0" w:space="0" w:color="auto"/>
                <w:left w:val="none" w:sz="0" w:space="0" w:color="auto"/>
                <w:bottom w:val="none" w:sz="0" w:space="0" w:color="auto"/>
                <w:right w:val="none" w:sz="0" w:space="0" w:color="auto"/>
              </w:divBdr>
              <w:divsChild>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 w:id="60">
                  <w:marLeft w:val="0"/>
                  <w:marRight w:val="0"/>
                  <w:marTop w:val="-20"/>
                  <w:marBottom w:val="-20"/>
                  <w:divBdr>
                    <w:top w:val="none" w:sz="0" w:space="0" w:color="auto"/>
                    <w:left w:val="none" w:sz="0" w:space="0" w:color="auto"/>
                    <w:bottom w:val="none" w:sz="0" w:space="0" w:color="auto"/>
                    <w:right w:val="none" w:sz="0" w:space="0" w:color="auto"/>
                  </w:divBdr>
                </w:div>
              </w:divsChild>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sChild>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1">
          <w:marLeft w:val="0"/>
          <w:marRight w:val="0"/>
          <w:marTop w:val="-20"/>
          <w:marBottom w:val="-20"/>
          <w:divBdr>
            <w:top w:val="none" w:sz="0" w:space="0" w:color="auto"/>
            <w:left w:val="none" w:sz="0" w:space="0" w:color="auto"/>
            <w:bottom w:val="none" w:sz="0" w:space="0" w:color="auto"/>
            <w:right w:val="none" w:sz="0" w:space="0" w:color="auto"/>
          </w:divBdr>
          <w:divsChild>
            <w:div w:id="72">
              <w:marLeft w:val="0"/>
              <w:marRight w:val="0"/>
              <w:marTop w:val="-20"/>
              <w:marBottom w:val="-20"/>
              <w:divBdr>
                <w:top w:val="none" w:sz="0" w:space="0" w:color="auto"/>
                <w:left w:val="none" w:sz="0" w:space="0" w:color="auto"/>
                <w:bottom w:val="none" w:sz="0" w:space="0" w:color="auto"/>
                <w:right w:val="none" w:sz="0" w:space="0" w:color="auto"/>
              </w:divBdr>
              <w:divsChild>
                <w:div w:id="73">
                  <w:marLeft w:val="0"/>
                  <w:marRight w:val="0"/>
                  <w:marTop w:val="-20"/>
                  <w:marBottom w:val="-20"/>
                  <w:divBdr>
                    <w:top w:val="none" w:sz="0" w:space="0" w:color="auto"/>
                    <w:left w:val="none" w:sz="0" w:space="0" w:color="auto"/>
                    <w:bottom w:val="none" w:sz="0" w:space="0" w:color="auto"/>
                    <w:right w:val="none" w:sz="0" w:space="0" w:color="auto"/>
                  </w:divBdr>
                </w:div>
                <w:div w:id="74">
                  <w:marLeft w:val="0"/>
                  <w:marRight w:val="0"/>
                  <w:marTop w:val="-20"/>
                  <w:marBottom w:val="-20"/>
                  <w:divBdr>
                    <w:top w:val="none" w:sz="0" w:space="0" w:color="auto"/>
                    <w:left w:val="none" w:sz="0" w:space="0" w:color="auto"/>
                    <w:bottom w:val="none" w:sz="0" w:space="0" w:color="auto"/>
                    <w:right w:val="none" w:sz="0" w:space="0" w:color="auto"/>
                  </w:divBdr>
                </w:div>
                <w:div w:id="75">
                  <w:marLeft w:val="0"/>
                  <w:marRight w:val="0"/>
                  <w:marTop w:val="-20"/>
                  <w:marBottom w:val="-20"/>
                  <w:divBdr>
                    <w:top w:val="none" w:sz="0" w:space="0" w:color="auto"/>
                    <w:left w:val="none" w:sz="0" w:space="0" w:color="auto"/>
                    <w:bottom w:val="none" w:sz="0" w:space="0" w:color="auto"/>
                    <w:right w:val="none" w:sz="0" w:space="0" w:color="auto"/>
                  </w:divBdr>
                  <w:divsChild>
                    <w:div w:id="7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sChild>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
              </w:divsChild>
            </w:div>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sChild>
                    <w:div w:id="87">
                      <w:marLeft w:val="0"/>
                      <w:marRight w:val="0"/>
                      <w:marTop w:val="-20"/>
                      <w:marBottom w:val="-20"/>
                      <w:divBdr>
                        <w:top w:val="none" w:sz="0" w:space="0" w:color="auto"/>
                        <w:left w:val="none" w:sz="0" w:space="0" w:color="auto"/>
                        <w:bottom w:val="none" w:sz="0" w:space="0" w:color="auto"/>
                        <w:right w:val="none" w:sz="0" w:space="0" w:color="auto"/>
                      </w:divBdr>
                    </w:div>
                  </w:divsChild>
                </w:div>
                <w:div w:id="88">
                  <w:marLeft w:val="0"/>
                  <w:marRight w:val="0"/>
                  <w:marTop w:val="-20"/>
                  <w:marBottom w:val="-20"/>
                  <w:divBdr>
                    <w:top w:val="none" w:sz="0" w:space="0" w:color="auto"/>
                    <w:left w:val="none" w:sz="0" w:space="0" w:color="auto"/>
                    <w:bottom w:val="none" w:sz="0" w:space="0" w:color="auto"/>
                    <w:right w:val="none" w:sz="0" w:space="0" w:color="auto"/>
                  </w:divBdr>
                  <w:divsChild>
                    <w:div w:id="89">
                      <w:marLeft w:val="0"/>
                      <w:marRight w:val="0"/>
                      <w:marTop w:val="-20"/>
                      <w:marBottom w:val="-20"/>
                      <w:divBdr>
                        <w:top w:val="none" w:sz="0" w:space="0" w:color="auto"/>
                        <w:left w:val="none" w:sz="0" w:space="0" w:color="auto"/>
                        <w:bottom w:val="none" w:sz="0" w:space="0" w:color="auto"/>
                        <w:right w:val="none" w:sz="0" w:space="0" w:color="auto"/>
                      </w:divBdr>
                    </w:div>
                  </w:divsChild>
                </w:div>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sChild>
                    <w:div w:id="94">
                      <w:marLeft w:val="0"/>
                      <w:marRight w:val="0"/>
                      <w:marTop w:val="-20"/>
                      <w:marBottom w:val="-20"/>
                      <w:divBdr>
                        <w:top w:val="none" w:sz="0" w:space="0" w:color="auto"/>
                        <w:left w:val="none" w:sz="0" w:space="0" w:color="auto"/>
                        <w:bottom w:val="none" w:sz="0" w:space="0" w:color="auto"/>
                        <w:right w:val="none" w:sz="0" w:space="0" w:color="auto"/>
                      </w:divBdr>
                    </w:div>
                  </w:divsChild>
                </w:div>
                <w:div w:id="95">
                  <w:marLeft w:val="0"/>
                  <w:marRight w:val="0"/>
                  <w:marTop w:val="-20"/>
                  <w:marBottom w:val="-20"/>
                  <w:divBdr>
                    <w:top w:val="none" w:sz="0" w:space="0" w:color="auto"/>
                    <w:left w:val="none" w:sz="0" w:space="0" w:color="auto"/>
                    <w:bottom w:val="none" w:sz="0" w:space="0" w:color="auto"/>
                    <w:right w:val="none" w:sz="0" w:space="0" w:color="auto"/>
                  </w:divBdr>
                </w:div>
              </w:divsChild>
            </w:div>
            <w:div w:id="96">
              <w:marLeft w:val="0"/>
              <w:marRight w:val="0"/>
              <w:marTop w:val="-20"/>
              <w:marBottom w:val="-20"/>
              <w:divBdr>
                <w:top w:val="none" w:sz="0" w:space="0" w:color="auto"/>
                <w:left w:val="none" w:sz="0" w:space="0" w:color="auto"/>
                <w:bottom w:val="none" w:sz="0" w:space="0" w:color="auto"/>
                <w:right w:val="none" w:sz="0" w:space="0" w:color="auto"/>
              </w:divBdr>
              <w:divsChild>
                <w:div w:id="97">
                  <w:marLeft w:val="0"/>
                  <w:marRight w:val="0"/>
                  <w:marTop w:val="-20"/>
                  <w:marBottom w:val="-20"/>
                  <w:divBdr>
                    <w:top w:val="none" w:sz="0" w:space="0" w:color="auto"/>
                    <w:left w:val="none" w:sz="0" w:space="0" w:color="auto"/>
                    <w:bottom w:val="none" w:sz="0" w:space="0" w:color="auto"/>
                    <w:right w:val="none" w:sz="0" w:space="0" w:color="auto"/>
                  </w:divBdr>
                  <w:divsChild>
                    <w:div w:id="98">
                      <w:marLeft w:val="0"/>
                      <w:marRight w:val="0"/>
                      <w:marTop w:val="-20"/>
                      <w:marBottom w:val="-20"/>
                      <w:divBdr>
                        <w:top w:val="none" w:sz="0" w:space="0" w:color="auto"/>
                        <w:left w:val="none" w:sz="0" w:space="0" w:color="auto"/>
                        <w:bottom w:val="none" w:sz="0" w:space="0" w:color="auto"/>
                        <w:right w:val="none" w:sz="0" w:space="0" w:color="auto"/>
                      </w:divBdr>
                      <w:divsChild>
                        <w:div w:id="9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00">
                  <w:marLeft w:val="0"/>
                  <w:marRight w:val="0"/>
                  <w:marTop w:val="-20"/>
                  <w:marBottom w:val="-20"/>
                  <w:divBdr>
                    <w:top w:val="none" w:sz="0" w:space="0" w:color="auto"/>
                    <w:left w:val="none" w:sz="0" w:space="0" w:color="auto"/>
                    <w:bottom w:val="none" w:sz="0" w:space="0" w:color="auto"/>
                    <w:right w:val="none" w:sz="0" w:space="0" w:color="auto"/>
                  </w:divBdr>
                  <w:divsChild>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1" w:color="auto"/>
                            <w:left w:val="none" w:sz="0" w:space="4" w:color="auto"/>
                            <w:bottom w:val="none" w:sz="0" w:space="1" w:color="auto"/>
                            <w:right w:val="none" w:sz="0" w:space="4" w:color="auto"/>
                          </w:divBdr>
                        </w:div>
                      </w:divsChild>
                    </w:div>
                  </w:divsChild>
                </w:div>
                <w:div w:id="103">
                  <w:marLeft w:val="0"/>
                  <w:marRight w:val="0"/>
                  <w:marTop w:val="-20"/>
                  <w:marBottom w:val="-20"/>
                  <w:divBdr>
                    <w:top w:val="none" w:sz="0" w:space="0" w:color="auto"/>
                    <w:left w:val="none" w:sz="0" w:space="0" w:color="auto"/>
                    <w:bottom w:val="none" w:sz="0" w:space="0" w:color="auto"/>
                    <w:right w:val="none" w:sz="0" w:space="0" w:color="auto"/>
                  </w:divBdr>
                  <w:divsChild>
                    <w:div w:id="104">
                      <w:marLeft w:val="0"/>
                      <w:marRight w:val="0"/>
                      <w:marTop w:val="-20"/>
                      <w:marBottom w:val="-20"/>
                      <w:divBdr>
                        <w:top w:val="none" w:sz="0" w:space="0" w:color="auto"/>
                        <w:left w:val="none" w:sz="0" w:space="0" w:color="auto"/>
                        <w:bottom w:val="none" w:sz="0" w:space="0" w:color="auto"/>
                        <w:right w:val="none" w:sz="0" w:space="0" w:color="auto"/>
                      </w:divBdr>
                    </w:div>
                  </w:divsChild>
                </w:div>
                <w:div w:id="105">
                  <w:marLeft w:val="0"/>
                  <w:marRight w:val="0"/>
                  <w:marTop w:val="-20"/>
                  <w:marBottom w:val="-20"/>
                  <w:divBdr>
                    <w:top w:val="none" w:sz="0" w:space="0" w:color="auto"/>
                    <w:left w:val="none" w:sz="0" w:space="0" w:color="auto"/>
                    <w:bottom w:val="none" w:sz="0" w:space="0" w:color="auto"/>
                    <w:right w:val="none" w:sz="0" w:space="0" w:color="auto"/>
                  </w:divBdr>
                  <w:divsChild>
                    <w:div w:id="106">
                      <w:marLeft w:val="0"/>
                      <w:marRight w:val="0"/>
                      <w:marTop w:val="-20"/>
                      <w:marBottom w:val="-20"/>
                      <w:divBdr>
                        <w:top w:val="none" w:sz="0" w:space="0" w:color="auto"/>
                        <w:left w:val="none" w:sz="0" w:space="0" w:color="auto"/>
                        <w:bottom w:val="none" w:sz="0" w:space="0" w:color="auto"/>
                        <w:right w:val="none" w:sz="0" w:space="0" w:color="auto"/>
                      </w:divBdr>
                    </w:div>
                  </w:divsChild>
                </w:div>
                <w:div w:id="107">
                  <w:marLeft w:val="0"/>
                  <w:marRight w:val="0"/>
                  <w:marTop w:val="-20"/>
                  <w:marBottom w:val="-20"/>
                  <w:divBdr>
                    <w:top w:val="none" w:sz="0" w:space="0" w:color="auto"/>
                    <w:left w:val="none" w:sz="0" w:space="0" w:color="auto"/>
                    <w:bottom w:val="none" w:sz="0" w:space="0" w:color="auto"/>
                    <w:right w:val="none" w:sz="0" w:space="0" w:color="auto"/>
                  </w:divBdr>
                  <w:divsChild>
                    <w:div w:id="108">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09">
              <w:marLeft w:val="0"/>
              <w:marRight w:val="0"/>
              <w:marTop w:val="-20"/>
              <w:marBottom w:val="-20"/>
              <w:divBdr>
                <w:top w:val="none" w:sz="0" w:space="0" w:color="auto"/>
                <w:left w:val="none" w:sz="0" w:space="0" w:color="auto"/>
                <w:bottom w:val="none" w:sz="0" w:space="0" w:color="auto"/>
                <w:right w:val="none" w:sz="0" w:space="0" w:color="auto"/>
              </w:divBdr>
              <w:divsChild>
                <w:div w:id="110">
                  <w:marLeft w:val="0"/>
                  <w:marRight w:val="0"/>
                  <w:marTop w:val="-20"/>
                  <w:marBottom w:val="-20"/>
                  <w:divBdr>
                    <w:top w:val="none" w:sz="0" w:space="0" w:color="auto"/>
                    <w:left w:val="none" w:sz="0" w:space="0" w:color="auto"/>
                    <w:bottom w:val="none" w:sz="0" w:space="0" w:color="auto"/>
                    <w:right w:val="none" w:sz="0" w:space="0" w:color="auto"/>
                  </w:divBdr>
                </w:div>
                <w:div w:id="111">
                  <w:marLeft w:val="0"/>
                  <w:marRight w:val="0"/>
                  <w:marTop w:val="-20"/>
                  <w:marBottom w:val="-20"/>
                  <w:divBdr>
                    <w:top w:val="none" w:sz="0" w:space="0" w:color="auto"/>
                    <w:left w:val="none" w:sz="0" w:space="0" w:color="auto"/>
                    <w:bottom w:val="none" w:sz="0" w:space="0" w:color="auto"/>
                    <w:right w:val="none" w:sz="0" w:space="0" w:color="auto"/>
                  </w:divBdr>
                </w:div>
                <w:div w:id="112">
                  <w:marLeft w:val="0"/>
                  <w:marRight w:val="0"/>
                  <w:marTop w:val="-20"/>
                  <w:marBottom w:val="-20"/>
                  <w:divBdr>
                    <w:top w:val="none" w:sz="0" w:space="0" w:color="auto"/>
                    <w:left w:val="none" w:sz="0" w:space="0" w:color="auto"/>
                    <w:bottom w:val="none" w:sz="0" w:space="0" w:color="auto"/>
                    <w:right w:val="none" w:sz="0" w:space="0" w:color="auto"/>
                  </w:divBdr>
                </w:div>
              </w:divsChild>
            </w:div>
            <w:div w:id="113">
              <w:marLeft w:val="0"/>
              <w:marRight w:val="0"/>
              <w:marTop w:val="-20"/>
              <w:marBottom w:val="-20"/>
              <w:divBdr>
                <w:top w:val="none" w:sz="0" w:space="0" w:color="auto"/>
                <w:left w:val="none" w:sz="0" w:space="0" w:color="auto"/>
                <w:bottom w:val="none" w:sz="0" w:space="0" w:color="auto"/>
                <w:right w:val="none" w:sz="0" w:space="0" w:color="auto"/>
              </w:divBdr>
              <w:divsChild>
                <w:div w:id="114">
                  <w:marLeft w:val="0"/>
                  <w:marRight w:val="0"/>
                  <w:marTop w:val="-20"/>
                  <w:marBottom w:val="-20"/>
                  <w:divBdr>
                    <w:top w:val="none" w:sz="0" w:space="0" w:color="auto"/>
                    <w:left w:val="none" w:sz="0" w:space="0" w:color="auto"/>
                    <w:bottom w:val="none" w:sz="0" w:space="0" w:color="auto"/>
                    <w:right w:val="none" w:sz="0" w:space="0" w:color="auto"/>
                  </w:divBdr>
                </w:div>
                <w:div w:id="115">
                  <w:marLeft w:val="0"/>
                  <w:marRight w:val="0"/>
                  <w:marTop w:val="-20"/>
                  <w:marBottom w:val="-20"/>
                  <w:divBdr>
                    <w:top w:val="none" w:sz="0" w:space="0" w:color="auto"/>
                    <w:left w:val="none" w:sz="0" w:space="0" w:color="auto"/>
                    <w:bottom w:val="none" w:sz="0" w:space="0" w:color="auto"/>
                    <w:right w:val="none" w:sz="0" w:space="0" w:color="auto"/>
                  </w:divBdr>
                </w:div>
                <w:div w:id="11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17">
          <w:marLeft w:val="0"/>
          <w:marRight w:val="0"/>
          <w:marTop w:val="-20"/>
          <w:marBottom w:val="-20"/>
          <w:divBdr>
            <w:top w:val="none" w:sz="0" w:space="0" w:color="auto"/>
            <w:left w:val="none" w:sz="0" w:space="0" w:color="auto"/>
            <w:bottom w:val="none" w:sz="0" w:space="0" w:color="auto"/>
            <w:right w:val="none" w:sz="0" w:space="0" w:color="auto"/>
          </w:divBdr>
        </w:div>
        <w:div w:id="118">
          <w:marLeft w:val="0"/>
          <w:marRight w:val="0"/>
          <w:marTop w:val="-20"/>
          <w:marBottom w:val="-20"/>
          <w:divBdr>
            <w:top w:val="none" w:sz="0" w:space="0" w:color="auto"/>
            <w:left w:val="none" w:sz="0" w:space="0" w:color="auto"/>
            <w:bottom w:val="none" w:sz="0" w:space="0" w:color="auto"/>
            <w:right w:val="none" w:sz="0" w:space="0" w:color="auto"/>
          </w:divBdr>
        </w:div>
        <w:div w:id="119">
          <w:marLeft w:val="0"/>
          <w:marRight w:val="0"/>
          <w:marTop w:val="-20"/>
          <w:marBottom w:val="-20"/>
          <w:divBdr>
            <w:top w:val="none" w:sz="0" w:space="0" w:color="auto"/>
            <w:left w:val="none" w:sz="0" w:space="0" w:color="auto"/>
            <w:bottom w:val="none" w:sz="0" w:space="0" w:color="auto"/>
            <w:right w:val="none" w:sz="0" w:space="0" w:color="auto"/>
          </w:divBdr>
          <w:divsChild>
            <w:div w:id="12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styles" Target="styles.xml"/><Relationship Id="rId17" Type="http://schemas.openxmlformats.org/officeDocument/2006/relationships/webSettings" Target="webSettings.xml"/><Relationship Id="rId18"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2023-12-15T07:47:27Z</dcterms:created>
  <dcterms:modified xsi:type="dcterms:W3CDTF">2023-12-15T07:47:27Z</dcterms:modified>
</cp:coreProperties>
</file>