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w15="http://schemas.microsoft.com/office/word/2012/wordml" mc:Ignorable="w14 wp14 w15">
  <w:body>
    <w:p>
      <w:pPr>
        <w:pStyle w:val="Heading1"/>
        <w:divId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投标函</w:t>
      </w:r>
    </w:p>
    <w:p>
      <w:pPr>
        <w:pStyle w:val="Heading1"/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  <w:b/>
          <w:i w:val="0"/>
          <w:sz w:val="48"/>
        </w:rPr>
        <w:t xml:space="preserve">投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标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函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left"/>
        <w:rPr>
          <w:vanish w:val="0"/>
        </w:rPr>
      </w:pPr>
      <w:r>
        <w:rPr>
          <w:rFonts w:ascii="宋体" w:eastAsia="宋体" w:hAnsi="宋体" w:cs="宋体"/>
          <w:b/>
        </w:rPr>
        <w:t xml:space="preserve">致：</w:t>
      </w:r>
      <w:r>
        <w:rPr>
          <w:rFonts w:ascii="宋体" w:eastAsia="宋体" w:hAnsi="宋体" w:cs="宋体"/>
          <w:b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中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（设备管理部）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ascii="宋体" w:eastAsia="宋体" w:hAnsi="宋体" w:cs="宋体"/>
          <w:b/>
          <w:u w:val="single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1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根据已收到的</w:t>
      </w:r>
      <w:r>
        <w:rPr>
          <w:rFonts w:ascii="宋体" w:eastAsia="宋体" w:hAnsi="宋体" w:cs="宋体"/>
          <w:i/>
          <w:u w:val="single"/>
        </w:rPr>
        <w:t xml:space="preserve">（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电动机维修</w:t>
      </w:r>
      <w:r>
        <w:rPr>
          <w:rFonts w:ascii="宋体" w:eastAsia="宋体" w:hAnsi="宋体" w:cs="宋体"/>
          <w:i/>
          <w:u w:val="single"/>
        </w:rPr>
        <w:t xml:space="preserve">）</w:t>
      </w:r>
      <w:r>
        <w:rPr>
          <w:rFonts w:ascii="宋体" w:eastAsia="宋体" w:hAnsi="宋体" w:cs="宋体"/>
        </w:rPr>
        <w:t xml:space="preserve">项目的招标文件，我单位经研究上述项目招标文件的投标须知、技术规范等有关文件后，按上述技术规范和要求条件编制投标文件</w:t>
      </w:r>
      <w:r>
        <w:rPr>
          <w:rFonts w:ascii="宋体" w:eastAsia="宋体" w:hAnsi="宋体" w:cs="宋体"/>
        </w:rPr>
        <w:t xml:space="preserve">。</w:t>
      </w:r>
      <w:r>
        <w:rPr>
          <w:rFonts w:ascii="宋体" w:eastAsia="宋体" w:hAnsi="宋体" w:cs="宋体"/>
        </w:rPr>
        <w:t xml:space="preserve">投标保证金：</w:t>
      </w:r>
      <w:r>
        <w:rPr>
          <w:rFonts w:ascii="宋体" w:eastAsia="宋体" w:hAnsi="宋体" w:cs="宋体-18030"/>
        </w:rPr>
        <w:t xml:space="preserve">人民币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sz w:val="32"/>
          <w:u w:val="single"/>
        </w:rPr>
        <w:t xml:space="preserve"> </w:t>
      </w:r>
      <w:r>
        <w:rPr>
          <w:rFonts w:ascii="宋体" w:eastAsia="宋体" w:hAnsi="宋体" w:cs="宋体"/>
          <w:b/>
          <w:sz w:val="28"/>
          <w:u w:val="single"/>
        </w:rPr>
        <w:t xml:space="preserve">2</w:t>
      </w:r>
      <w:r>
        <w:rPr>
          <w:rFonts w:ascii="宋体" w:eastAsia="宋体" w:hAnsi="宋体" w:cs="宋体"/>
          <w:b/>
          <w:sz w:val="32"/>
          <w:u w:val="single"/>
        </w:rPr>
        <w:t xml:space="preserve"> </w:t>
      </w:r>
      <w:r>
        <w:rPr>
          <w:rFonts w:ascii="宋体" w:eastAsia="宋体" w:hAnsi="宋体" w:cs="宋体"/>
          <w:u w:val="single"/>
        </w:rPr>
        <w:t xml:space="preserve">   </w:t>
      </w:r>
      <w:r>
        <w:rPr>
          <w:rFonts w:ascii="宋体" w:eastAsia="宋体" w:hAnsi="宋体" w:cs="宋体"/>
        </w:rPr>
        <w:t xml:space="preserve">万元。投标有效期：自开标之日起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b/>
          <w:sz w:val="24"/>
          <w:u w:val="single"/>
        </w:rPr>
        <w:t xml:space="preserve">90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</w:rPr>
        <w:t xml:space="preserve">日历日。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2</w:t>
      </w:r>
      <w:r>
        <w:rPr>
          <w:rFonts w:ascii="宋体" w:eastAsia="宋体" w:hAnsi="宋体" w:cs="宋体-18030"/>
        </w:rPr>
        <w:t xml:space="preserve">、一旦我方中标，我方保证</w:t>
      </w:r>
      <w:r>
        <w:rPr>
          <w:rFonts w:ascii="宋体" w:eastAsia="宋体" w:hAnsi="宋体" w:cs="宋体"/>
          <w:u w:val="single"/>
        </w:rPr>
        <w:t xml:space="preserve">自</w:t>
      </w:r>
      <w:r>
        <w:rPr>
          <w:rFonts w:ascii="宋体" w:eastAsia="宋体" w:hAnsi="宋体" w:cs="宋体"/>
          <w:u w:val="single"/>
        </w:rPr>
        <w:t xml:space="preserve">2024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日至</w:t>
      </w:r>
      <w:r>
        <w:rPr>
          <w:rFonts w:ascii="宋体" w:eastAsia="宋体" w:hAnsi="宋体" w:cs="宋体"/>
          <w:u w:val="single"/>
        </w:rPr>
        <w:t xml:space="preserve"> 2025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</w:t>
      </w:r>
      <w:r>
        <w:rPr>
          <w:rFonts w:ascii="宋体" w:eastAsia="宋体" w:hAnsi="宋体" w:cs="宋体-18030"/>
        </w:rPr>
        <w:t xml:space="preserve">按合同约定完成服务工作，并于中标后、签订合同前按照辽河油田公司的要求及时办理相关手续。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3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我方的投标文件包括下列内容：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）投标函；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）法定代表身份证明或授权委托书；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）联合体协议书（如有）；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）投标保证金；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5</w:t>
      </w:r>
      <w:r>
        <w:rPr>
          <w:rFonts w:ascii="宋体" w:eastAsia="宋体" w:hAnsi="宋体" w:cs="宋体"/>
        </w:rPr>
        <w:t xml:space="preserve">）服务方案；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）资格审查资料；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……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、我方承诺在招标文件规定的投标有效期内不撤销投标文件。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-18030"/>
        </w:rPr>
        <w:t xml:space="preserve">5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如我方中标，我方承诺：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）在收到中标通知书后，在中标通知书规定的期限内与你方签订合同；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）在签订合同时不向你方提出附加条件；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）按照招标文件要求提交履约保证金；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）在合同约定的期限内完成合同规定的全部义务。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、我方在此声明，所递交的投标文件及有关资料内容完整、真实和准确，且不存在第二章“投标人须知”第</w:t>
      </w:r>
      <w:r>
        <w:rPr>
          <w:rFonts w:ascii="宋体" w:eastAsia="宋体" w:hAnsi="宋体" w:cs="宋体"/>
        </w:rPr>
        <w:t xml:space="preserve">1.4.3</w:t>
      </w:r>
      <w:r>
        <w:rPr>
          <w:rFonts w:ascii="宋体" w:eastAsia="宋体" w:hAnsi="宋体" w:cs="宋体"/>
        </w:rPr>
        <w:t xml:space="preserve">项规定的任何一种情形。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投标人：</w:t>
      </w:r>
      <w:r>
        <w:rPr>
          <w:rFonts w:ascii="宋体" w:eastAsia="宋体" w:hAnsi="宋体" w:cs="宋体"/>
          <w:b/>
          <w:sz w:val="28"/>
        </w:rPr>
        <w:t xml:space="preserve">沈阳泰源科技有限公司</w:t>
      </w:r>
      <w:r>
        <w:rPr>
          <w:rFonts w:ascii="宋体" w:eastAsia="宋体" w:hAnsi="宋体" w:cs="宋体-18030"/>
        </w:rPr>
        <w:t xml:space="preserve">（盖章）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t xml:space="preserve"> </w:t>
      </w:r>
    </w:p>
    <w:tbl>
      <w:tblPr>
        <w:tblW w:w="0" w:type="auto"/>
        <w:jc w:val="left"/>
        <w:tblCellSpacing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6376"/>
        <w:gridCol w:w="70"/>
      </w:tblGrid>
      <w:tr>
        <w:trPr>
          <w:trHeight w:val="75"/>
          <w:tblCellSpacing w:w="0" w:type="dxa"/>
          <w:jc w:val="left"/>
          <w:divId w:val="2"/>
        </w:trPr>
        <w:tc>
          <w:tcPr>
            <w:tcW w:w="6375" w:type="dxa"/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  <w:tr>
        <w:trPr>
          <w:trHeight w:val="75"/>
          <w:tblCellSpacing w:w="0" w:type="dxa"/>
          <w:jc w:val="left"/>
          <w:divId w:val="2"/>
        </w:trPr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</w:tbl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tLeas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法定代表人或授权委托人： </w:t>
      </w:r>
      <w:r>
        <w:rPr>
          <w:rFonts w:ascii="宋体" w:eastAsia="宋体" w:hAnsi="宋体" w:cs="宋体-18030"/>
        </w:rPr>
        <w:t xml:space="preserve">    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42.75pt">
            <v:imagedata r:id="rId1" o:title=""/>
          </v:shape>
        </w:pict>
      </w:r>
      <w:r>
        <w:rPr>
          <w:rFonts w:ascii="宋体" w:eastAsia="宋体" w:hAnsi="宋体" w:cs="宋体"/>
        </w:rPr>
        <w:t xml:space="preserve">    </w:t>
      </w:r>
      <w:r>
        <w:rPr>
          <w:rFonts w:ascii="宋体" w:eastAsia="宋体" w:hAnsi="宋体" w:cs="宋体"/>
        </w:rPr>
        <w:t xml:space="preserve">（签字或盖章）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日期： </w:t>
      </w:r>
      <w:r>
        <w:rPr>
          <w:rFonts w:ascii="宋体" w:eastAsia="宋体" w:hAnsi="宋体" w:cs="宋体-18030"/>
          <w:b/>
        </w:rPr>
        <w:t xml:space="preserve">2023</w:t>
      </w:r>
      <w:r>
        <w:rPr>
          <w:rFonts w:ascii="宋体" w:eastAsia="宋体" w:hAnsi="宋体" w:cs="宋体-18030"/>
        </w:rPr>
        <w:t xml:space="preserve">   </w:t>
      </w:r>
      <w:r>
        <w:rPr>
          <w:rFonts w:ascii="宋体" w:eastAsia="宋体" w:hAnsi="宋体" w:cs="宋体-18030"/>
        </w:rPr>
        <w:t xml:space="preserve">年 </w:t>
      </w:r>
      <w:r>
        <w:rPr>
          <w:rFonts w:ascii="宋体" w:eastAsia="宋体" w:hAnsi="宋体" w:cs="宋体-18030"/>
          <w:b/>
        </w:rPr>
        <w:t xml:space="preserve">11</w:t>
      </w:r>
      <w:r>
        <w:rPr>
          <w:rFonts w:ascii="宋体" w:eastAsia="宋体" w:hAnsi="宋体" w:cs="宋体-18030"/>
        </w:rPr>
        <w:t xml:space="preserve"> 月 </w:t>
      </w:r>
      <w:r>
        <w:rPr>
          <w:rFonts w:ascii="宋体" w:eastAsia="宋体" w:hAnsi="宋体" w:cs="宋体-18030"/>
          <w:b/>
        </w:rPr>
        <w:t xml:space="preserve">28</w:t>
      </w:r>
      <w:r>
        <w:rPr>
          <w:rFonts w:ascii="宋体" w:eastAsia="宋体" w:hAnsi="宋体" w:cs="宋体-18030"/>
        </w:rPr>
        <w:t xml:space="preserve"> 日</w:t>
      </w:r>
    </w:p>
    <w:p>
      <w:pPr>
        <w:pStyle w:val="Heading2"/>
        <w:divId w:val="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书皮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电动机维修项目集中资格招标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pacing w:val="10"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84"/>
        </w:rPr>
        <w:t xml:space="preserve">投 标 文 件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rPr>
          <w:vanish w:val="0"/>
        </w:rPr>
      </w:pPr>
      <w:r>
        <w:rPr>
          <w:rFonts w:ascii="宋体" w:eastAsia="宋体" w:hAnsi="宋体" w:cs="宋体"/>
          <w:b/>
        </w:rPr>
        <w:t xml:space="preserve">                     </w:t>
      </w:r>
      <w:r>
        <w:rPr>
          <w:rFonts w:ascii="宋体" w:eastAsia="宋体" w:hAnsi="宋体" w:cs="宋体"/>
          <w:b/>
          <w:sz w:val="32"/>
        </w:rPr>
        <w:t xml:space="preserve">招标编号：</w:t>
      </w:r>
      <w:r>
        <w:rPr>
          <w:rFonts w:ascii="宋体" w:eastAsia="宋体" w:hAnsi="宋体" w:cs="宋体"/>
          <w:b/>
          <w:sz w:val="32"/>
          <w:u w:val="single"/>
        </w:rPr>
        <w:t xml:space="preserve"> 第</w:t>
      </w:r>
      <w:r>
        <w:rPr>
          <w:rFonts w:ascii="宋体" w:eastAsia="宋体" w:hAnsi="宋体" w:cs="宋体"/>
          <w:b/>
          <w:sz w:val="32"/>
          <w:u w:val="single"/>
        </w:rPr>
        <w:t xml:space="preserve">2023100236FS0950</w:t>
      </w:r>
      <w:r>
        <w:rPr>
          <w:rFonts w:ascii="宋体" w:eastAsia="宋体" w:hAnsi="宋体" w:cs="宋体"/>
          <w:b/>
          <w:sz w:val="32"/>
          <w:u w:val="single"/>
        </w:rPr>
        <w:t xml:space="preserve">号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投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标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人：</w:t>
      </w:r>
      <w:r>
        <w:rPr>
          <w:rFonts w:ascii="宋体" w:eastAsia="宋体" w:hAnsi="宋体" w:cs="宋体"/>
          <w:b/>
          <w:sz w:val="28"/>
          <w:u w:val="single"/>
        </w:rPr>
        <w:t xml:space="preserve">沈阳泰源科技有限公司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</w:rPr>
        <w:t xml:space="preserve">（</w:t>
      </w:r>
      <w:r>
        <w:rPr>
          <w:rFonts w:ascii="宋体" w:eastAsia="宋体" w:hAnsi="宋体" w:cs="宋体"/>
          <w:b/>
          <w:sz w:val="32"/>
        </w:rPr>
        <w:t xml:space="preserve">CA</w:t>
      </w:r>
      <w:r>
        <w:rPr>
          <w:rFonts w:ascii="宋体" w:eastAsia="宋体" w:hAnsi="宋体" w:cs="宋体"/>
          <w:b/>
          <w:sz w:val="32"/>
        </w:rPr>
        <w:t xml:space="preserve">电子公章）</w:t>
      </w:r>
      <w:r>
        <w:rPr>
          <w:rFonts w:ascii="宋体" w:eastAsia="宋体" w:hAnsi="宋体" w:cs="宋体"/>
          <w:b/>
          <w:sz w:val="32"/>
        </w:rPr>
        <w:t xml:space="preserve">  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2023</w:t>
      </w:r>
      <w:r>
        <w:rPr>
          <w:rFonts w:ascii="宋体" w:eastAsia="宋体" w:hAnsi="宋体" w:cs="宋体"/>
          <w:b/>
          <w:sz w:val="28"/>
          <w:u w:val="single"/>
        </w:rPr>
        <w:t xml:space="preserve">  </w:t>
      </w:r>
      <w:r>
        <w:rPr>
          <w:rFonts w:ascii="宋体" w:eastAsia="宋体" w:hAnsi="宋体" w:cs="宋体"/>
          <w:b/>
          <w:sz w:val="28"/>
        </w:rPr>
        <w:t xml:space="preserve">年</w:t>
      </w:r>
      <w:r>
        <w:rPr>
          <w:rFonts w:ascii="宋体" w:eastAsia="宋体" w:hAnsi="宋体" w:cs="宋体"/>
          <w:b/>
          <w:sz w:val="28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 11 </w:t>
      </w:r>
      <w:r>
        <w:rPr>
          <w:rFonts w:ascii="宋体" w:eastAsia="宋体" w:hAnsi="宋体" w:cs="宋体"/>
          <w:b/>
          <w:sz w:val="28"/>
        </w:rPr>
        <w:t xml:space="preserve">月</w:t>
      </w:r>
      <w:r>
        <w:rPr>
          <w:rFonts w:ascii="宋体" w:eastAsia="宋体" w:hAnsi="宋体" w:cs="宋体"/>
          <w:b/>
          <w:sz w:val="28"/>
          <w:u w:val="single"/>
        </w:rPr>
        <w:t xml:space="preserve">28 </w:t>
      </w:r>
      <w:r>
        <w:rPr>
          <w:rFonts w:ascii="宋体" w:eastAsia="宋体" w:hAnsi="宋体" w:cs="宋体"/>
          <w:b/>
          <w:sz w:val="28"/>
        </w:rPr>
        <w:t xml:space="preserve">日</w:t>
      </w:r>
    </w:p>
    <w:p>
      <w:pPr>
        <w:divId w:val="1"/>
        <w:rPr>
          <w:vanish w:val="0"/>
        </w:rPr>
      </w:pPr>
      <w:r>
        <w:pict>
          <v:shape id="_x0000_i1026" type="#_x0000_t75" style="width:0.75pt;height:0.75pt">
            <v:imagedata r:id="rId2" o:title=""/>
          </v:shape>
        </w:pict>
      </w:r>
    </w:p>
    <w:p>
      <w:pPr>
        <w:pStyle w:val="Heading2"/>
        <w:divId w:val="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随便</w:t>
      </w:r>
    </w:p>
    <w:p>
      <w:pPr>
        <w:pStyle w:val="Heading3"/>
        <w:divId w:val="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测试方案</w:t>
      </w:r>
    </w:p>
    <w:p>
      <w:pPr>
        <w:divId w:val="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以下是一份关于售后服务的方案，仅供参考：</w:t>
      </w:r>
      <w:r>
        <w:rPr/>
        <w:br/>
      </w:r>
      <w:r>
        <w:rPr/>
        <w:br/>
      </w:r>
      <w:r>
        <w:rPr>
          <w:rFonts w:eastAsia="simsun"/>
        </w:rPr>
        <w:t xml:space="preserve">一、方案背景</w:t>
      </w:r>
      <w:r>
        <w:rPr/>
        <w:br/>
      </w:r>
      <w:r>
        <w:rPr/>
        <w:br/>
      </w:r>
      <w:r>
        <w:rPr>
          <w:rFonts w:eastAsia="simsun"/>
        </w:rPr>
        <w:t xml:space="preserve">随着市场竞争的加剧，售后服务已成为企业争夺客户、提升品牌形象的关键环节。良好的售后服务不仅能解决客户在使用产品过程中遇到的问题，还能增加客户对企业的信任度和忠诚度。为此，我们针对企业售后服务现状，提出以下售后服务方案。</w:t>
      </w:r>
      <w:r>
        <w:rPr/>
        <w:br/>
      </w:r>
      <w:r>
        <w:rPr/>
        <w:br/>
      </w:r>
      <w:r>
        <w:rPr>
          <w:rFonts w:eastAsia="simsun"/>
        </w:rPr>
        <w:t xml:space="preserve">二、服务目标</w:t>
      </w:r>
      <w:r>
        <w:rPr/>
        <w:br/>
      </w:r>
      <w:r>
        <w:rPr/>
        <w:br/>
      </w:r>
      <w:r>
        <w:rPr>
          <w:rFonts w:eastAsia="simsun"/>
        </w:rPr>
        <w:t xml:space="preserve">1. 提高客户满意度：通过优质的售后服务，确保客户在使用产品过程中感受到企业的关心和支持。</w:t>
      </w:r>
      <w:r>
        <w:rPr/>
        <w:br/>
      </w:r>
      <w:r>
        <w:rPr/>
        <w:br/>
      </w:r>
      <w:r>
        <w:rPr>
          <w:rFonts w:eastAsia="simsun"/>
        </w:rPr>
        <w:t xml:space="preserve">2. 提升品牌形象：优质售后服务有助于树立企业品牌形象，增加客户对企业产品的认可度。</w:t>
      </w:r>
      <w:r>
        <w:rPr/>
        <w:br/>
      </w:r>
      <w:r>
        <w:rPr/>
        <w:br/>
      </w:r>
      <w:r>
        <w:rPr>
          <w:rFonts w:eastAsia="simsun"/>
        </w:rPr>
        <w:t xml:space="preserve">3. 优化资源配置：合理分配售后服务资源，提高服务效率，降低服务成本。</w:t>
      </w:r>
      <w:r>
        <w:rPr/>
        <w:br/>
      </w:r>
      <w:r>
        <w:rPr/>
        <w:br/>
      </w:r>
      <w:r>
        <w:rPr>
          <w:rFonts w:eastAsia="simsun"/>
        </w:rPr>
        <w:t xml:space="preserve">4. 完善售后服务制度：建立健全售后服务体系，规范售后服务流程，提高服务质量。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三、服务内容</w:t>
      </w:r>
      <w:r>
        <w:rPr/>
        <w:br/>
      </w:r>
      <w:r>
        <w:rPr/>
        <w:br/>
      </w:r>
      <w:r>
        <w:rPr>
          <w:rFonts w:eastAsia="simsun"/>
        </w:rPr>
        <w:t xml:space="preserve">1. 咨询服务：为客户解答产品选购、使用、保养等方面的问题。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安装与调试：负责产品的安装、调试及确保正常使用。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维修服务：为客户提供产品的维修和保养服务。</w:t>
      </w:r>
      <w:r>
        <w:rPr/>
        <w:br/>
      </w:r>
      <w:r>
        <w:rPr/>
        <w:br/>
      </w:r>
      <w:r>
        <w:rPr>
          <w:rFonts w:eastAsia="simsun"/>
        </w:rPr>
        <w:t xml:space="preserve">4. 配件供应：提供原装配件，确保产品配件的质量和性能。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退换货服务：按照相关政策，为客户办理退换货手续。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客户培训：为客户提供产品使用、保养等方面的培训。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投诉处理：及时处理客户投诉，确保客户权益。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四、服务流程</w:t>
      </w:r>
      <w:r>
        <w:rPr/>
        <w:br/>
      </w:r>
      <w:r>
        <w:rPr/>
        <w:br/>
      </w:r>
      <w:r>
        <w:rPr>
          <w:rFonts w:eastAsia="simsun"/>
        </w:rPr>
        <w:t xml:space="preserve">1. 咨询服务：客户可通过电话、在线客服等方式咨询产品相关问题，售后服务人员需在第一时间给予解答。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安装与调试：售后服务人员应在约定时间内完成产品的安装、调试，确保正常使用。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维修服务：客户可拨打售后服务热线或在线提交维修申请，售后服务人员将在第一时间响应并安排维修。</w:t>
      </w:r>
      <w:r>
        <w:rPr/>
        <w:br/>
      </w:r>
      <w:r>
        <w:rPr/>
        <w:br/>
      </w:r>
      <w:r>
        <w:rPr>
          <w:rFonts w:eastAsia="simsun"/>
        </w:rPr>
        <w:t xml:space="preserve">4. 配件供应：为客户提供原装配件，确保配件质量和性能。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退换货服务：客户如需退换货，按相关政策办理相关手续。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客户培训：根据客户需求，安排产品使用、保养等方面的培训。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投诉处理：对客户投诉进行及时处理，确保客户权益。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五、服务保障</w:t>
      </w:r>
      <w:r>
        <w:rPr/>
        <w:br/>
      </w:r>
      <w:r>
        <w:rPr/>
        <w:br/>
      </w:r>
      <w:r>
        <w:rPr>
          <w:rFonts w:eastAsia="simsun"/>
        </w:rPr>
        <w:t xml:space="preserve">1. 人员保障：培训一支专业的售后服务团队，为客户提供优质服务。</w:t>
      </w:r>
      <w:r>
        <w:rPr/>
        <w:br/>
      </w:r>
      <w:r>
        <w:rPr/>
        <w:br/>
      </w:r>
      <w:r>
        <w:rPr>
          <w:rFonts w:eastAsia="simsun"/>
        </w:rPr>
        <w:t xml:space="preserve">2. 技术保障：建立技术支持体系，为客户提供技术支持和解决方案。</w:t>
      </w:r>
      <w:r>
        <w:rPr/>
        <w:br/>
      </w:r>
      <w:r>
        <w:rPr/>
        <w:br/>
      </w:r>
      <w:r>
        <w:rPr>
          <w:rFonts w:eastAsia="simsun"/>
        </w:rPr>
        <w:t xml:space="preserve">3. 资源保障：合理分配售后服务资源，确保服务效率和服务质量。</w:t>
      </w:r>
      <w:r>
        <w:rPr/>
        <w:br/>
      </w:r>
      <w:r>
        <w:rPr/>
        <w:br/>
      </w:r>
      <w:r>
        <w:rPr>
          <w:rFonts w:eastAsia="simsun"/>
        </w:rPr>
        <w:t xml:space="preserve">4. 制度保障：建立健全售后服务制度，规范售后服务流程。</w:t>
      </w:r>
      <w:r>
        <w:rPr/>
        <w:br/>
      </w:r>
      <w:r>
        <w:rPr/>
        <w:br/>
      </w:r>
      <w:r>
        <w:rPr>
          <w:rFonts w:eastAsia="simsun"/>
        </w:rPr>
        <w:t xml:space="preserve">六、服务评价与改进</w:t>
      </w:r>
      <w:r>
        <w:rPr/>
        <w:br/>
      </w:r>
      <w:r>
        <w:rPr/>
        <w:br/>
      </w:r>
      <w:r>
        <w:rPr>
          <w:rFonts w:eastAsia="simsun"/>
        </w:rPr>
        <w:t xml:space="preserve">1. 客户评价：定期收集客户对售后服务的评价，了解客户满意度。</w:t>
      </w:r>
      <w:r>
        <w:rPr/>
        <w:br/>
      </w:r>
      <w:r>
        <w:rPr/>
        <w:br/>
      </w:r>
      <w:r>
        <w:rPr>
          <w:rFonts w:eastAsia="simsun"/>
        </w:rPr>
        <w:t xml:space="preserve">2. 内部评价：对售后服务团队进行内部评价，提高服务质量。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3. 改进措施：根据客户评价和内部评价，不断优化售后服务流程，提升服务水平。</w:t>
      </w:r>
      <w:r>
        <w:rPr/>
        <w:br/>
      </w:r>
      <w:r>
        <w:rPr/>
        <w:br/>
      </w:r>
      <w:r>
        <w:rPr>
          <w:rFonts w:eastAsia="simsun"/>
        </w:rPr>
        <w:t xml:space="preserve">通过以上方案的实施，我们期望提高企业的售后服务水平，增强客户满意度，进一步提升企业品牌形象。同时，我们也将在实践中不断总结经验，不断完善售后服务方案，以满足客户日益增长的需求。</w:t>
      </w:r>
    </w:p>
    <w:p>
      <w:pPr>
        <w:divId w:val="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撒旦范德萨分</w:t>
      </w:r>
    </w:p>
    <w:p>
      <w:pPr>
        <w:divId w:val="5"/>
        <w:rPr>
          <w:vanish w:val="0"/>
        </w:rPr>
      </w:pPr>
      <w:r>
        <w:pict>
          <v:shape id="_x0000_i1027" type="#_x0000_t75" style="width:0.75pt;height:0.75pt">
            <v:imagedata r:id="rId2" o:title=""/>
          </v:shape>
        </w:pict>
      </w:r>
    </w:p>
    <w:p>
      <w:pPr>
        <w:pStyle w:val="Heading3"/>
        <w:divId w:val="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生产设备</w:t>
      </w:r>
    </w:p>
    <w:p>
      <w:pPr>
        <w:pStyle w:val="Heading4"/>
        <w:divId w:val="1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车床</w:t>
      </w:r>
    </w:p>
    <w:p>
      <w:pPr>
        <w:pStyle w:val="Heading5"/>
        <w:divId w:val="1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2"/>
        <w:rPr>
          <w:vanish w:val="0"/>
        </w:rPr>
      </w:pPr>
      <w:r>
        <w:pict>
          <v:shape id="_x0000_i1028" type="#_x0000_t75" style="width:0.75pt;height:0.75pt">
            <v:imagedata r:id="rId2" o:title=""/>
          </v:shape>
        </w:pict>
      </w:r>
    </w:p>
    <w:p>
      <w:pPr>
        <w:pStyle w:val="Heading5"/>
        <w:divId w:val="1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4"/>
        <w:rPr>
          <w:vanish w:val="0"/>
        </w:rPr>
      </w:pPr>
      <w:r>
        <w:pict>
          <v:shape id="_x0000_i1029" type="#_x0000_t75" style="width:660.47pt;height:397.37pt">
            <v:imagedata r:id="rId3" o:title=""/>
          </v:shape>
        </w:pict>
      </w:r>
      <w:r>
        <w:pict>
          <v:shape id="_x0000_i1030" type="#_x0000_t75" style="width:660.47pt;height:660.47pt">
            <v:imagedata r:id="rId4" o:title=""/>
          </v:shape>
        </w:pict>
      </w:r>
    </w:p>
    <w:p>
      <w:pPr>
        <w:divId w:val="12"/>
        <w:rPr>
          <w:vanish w:val="0"/>
        </w:rPr>
      </w:pPr>
      <w:r>
        <w:pict>
          <v:shape id="_x0000_i1031" type="#_x0000_t75" style="width:0.75pt;height:0.75pt">
            <v:imagedata r:id="rId2" o:title=""/>
          </v:shape>
        </w:pict>
      </w:r>
    </w:p>
    <w:p>
      <w:pPr>
        <w:pStyle w:val="Heading5"/>
        <w:divId w:val="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1"/>
        <w:rPr>
          <w:vanish w:val="0"/>
        </w:rPr>
      </w:pPr>
      <w:r>
        <w:pict>
          <v:shape id="_x0000_i1032" type="#_x0000_t75" style="width:0.75pt;height:0.75pt">
            <v:imagedata r:id="rId2" o:title=""/>
          </v:shape>
        </w:pict>
      </w:r>
    </w:p>
    <w:p>
      <w:pPr>
        <w:pStyle w:val="Heading4"/>
        <w:divId w:val="1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钻床</w:t>
      </w:r>
    </w:p>
    <w:p>
      <w:pPr>
        <w:pStyle w:val="Heading5"/>
        <w:divId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6"/>
        <w:rPr>
          <w:vanish w:val="0"/>
        </w:rPr>
      </w:pPr>
      <w:r>
        <w:pict>
          <v:shape id="_x0000_i1033" type="#_x0000_t75" style="width:0.75pt;height:0.75pt">
            <v:imagedata r:id="rId2" o:title=""/>
          </v:shape>
        </w:pict>
      </w:r>
    </w:p>
    <w:p>
      <w:pPr>
        <w:pStyle w:val="Heading5"/>
        <w:divId w:val="1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6"/>
        <w:rPr>
          <w:vanish w:val="0"/>
        </w:rPr>
      </w:pPr>
      <w:r>
        <w:pict>
          <v:shape id="_x0000_i1034" type="#_x0000_t75" style="width:0.75pt;height:0.75pt">
            <v:imagedata r:id="rId2" o:title=""/>
          </v:shape>
        </w:pict>
      </w:r>
    </w:p>
    <w:p>
      <w:pPr>
        <w:pStyle w:val="Heading5"/>
        <w:divId w:val="1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6"/>
        <w:rPr>
          <w:vanish w:val="0"/>
        </w:rPr>
      </w:pPr>
      <w:r>
        <w:pict>
          <v:shape id="_x0000_i1035" type="#_x0000_t75" style="width:0.75pt;height:0.75pt">
            <v:imagedata r:id="rId2" o:title=""/>
          </v:shape>
        </w:pict>
      </w:r>
    </w:p>
    <w:p>
      <w:pPr>
        <w:pStyle w:val="Heading5"/>
        <w:divId w:val="2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照片</w:t>
      </w:r>
    </w:p>
    <w:p>
      <w:pPr>
        <w:divId w:val="5"/>
        <w:rPr>
          <w:vanish w:val="0"/>
        </w:rPr>
      </w:pPr>
      <w:r>
        <w:pict>
          <v:shape id="_x0000_i1036" type="#_x0000_t75" style="width:0.75pt;height:0.75pt">
            <v:imagedata r:id="rId2" o:title=""/>
          </v:shape>
        </w:pict>
      </w:r>
    </w:p>
    <w:p>
      <w:pPr>
        <w:pStyle w:val="Heading3"/>
        <w:divId w:val="2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钻床</w:t>
      </w:r>
    </w:p>
    <w:p>
      <w:pPr>
        <w:pStyle w:val="Heading4"/>
        <w:divId w:val="2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合同</w:t>
      </w:r>
    </w:p>
    <w:p>
      <w:pPr>
        <w:pStyle w:val="Heading5"/>
        <w:divId w:val="2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7" type="#_x0000_t75" style="width:0.75pt;height:0.75pt">
            <v:imagedata r:id="rId2" o:title=""/>
          </v:shape>
        </w:pict>
      </w:r>
    </w:p>
    <w:p>
      <w:pPr>
        <w:pStyle w:val="Heading4"/>
        <w:divId w:val="2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发票</w:t>
      </w:r>
    </w:p>
    <w:p>
      <w:pPr>
        <w:pStyle w:val="Heading5"/>
        <w:divId w:val="2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8" type="#_x0000_t75" style="width:0.75pt;height:0.75pt">
            <v:imagedata r:id="rId2" o:title=""/>
          </v:shape>
        </w:pict>
      </w:r>
    </w:p>
    <w:p>
      <w:pPr>
        <w:pStyle w:val="Heading4"/>
        <w:divId w:val="2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订单</w:t>
      </w:r>
    </w:p>
    <w:p>
      <w:pPr>
        <w:pStyle w:val="Heading5"/>
        <w:divId w:val="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9" type="#_x0000_t75" style="width:0.75pt;height:0.75pt">
            <v:imagedata r:id="rId2" o:title=""/>
          </v:shape>
        </w:pict>
      </w:r>
    </w:p>
    <w:p>
      <w:pPr>
        <w:pStyle w:val="Heading4"/>
        <w:divId w:val="2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</w:t>
      </w:r>
    </w:p>
    <w:p>
      <w:pPr>
        <w:pStyle w:val="Heading5"/>
        <w:divId w:val="2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5"/>
        <w:rPr>
          <w:vanish w:val="0"/>
        </w:rPr>
      </w:pPr>
      <w:r>
        <w:pict>
          <v:shape id="_x0000_i1040" type="#_x0000_t75" style="width:0.75pt;height:0.75pt">
            <v:imagedata r:id="rId2" o:title=""/>
          </v:shape>
        </w:pict>
      </w:r>
    </w:p>
    <w:p>
      <w:pPr>
        <w:pStyle w:val="Heading3"/>
        <w:divId w:val="3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车床</w:t>
      </w:r>
    </w:p>
    <w:p>
      <w:pPr>
        <w:pStyle w:val="Heading4"/>
        <w:divId w:val="3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照片2</w:t>
      </w:r>
    </w:p>
    <w:p>
      <w:pPr>
        <w:pStyle w:val="Heading5"/>
        <w:divId w:val="3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b/>
          <w:i w:val="0"/>
          <w:sz w:val="18"/>
        </w:rPr>
        <w:t xml:space="preserve">1</w:t>
      </w:r>
    </w:p>
    <w:p>
      <w:pPr>
        <w:divId w:val="31"/>
        <w:rPr>
          <w:vanish w:val="0"/>
        </w:rPr>
      </w:pPr>
      <w:r>
        <w:pict>
          <v:shape id="_x0000_i1041" type="#_x0000_t75" style="width:0.75pt;height:0.75pt">
            <v:imagedata r:id="rId2" o:title=""/>
          </v:shape>
        </w:pict>
      </w:r>
    </w:p>
    <w:p>
      <w:pPr>
        <w:pStyle w:val="Heading5"/>
        <w:divId w:val="3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原件1</w:t>
      </w:r>
    </w:p>
    <w:p>
      <w:pPr/>
      <w:r>
        <w:pict>
          <v:shape id="_x0000_i1042" type="#_x0000_t75" style="width:0.75pt;height:0.75pt">
            <v:imagedata r:id="rId2" o:title=""/>
          </v:shape>
        </w:pict>
      </w:r>
    </w:p>
    <w:p>
      <w:pPr>
        <w:pStyle w:val="Heading1"/>
        <w:divId w:val="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一级标题</w:t>
      </w:r>
    </w:p>
    <w:sectPr>
      <w:pgSz w:w="11907" w:h="16839"/>
      <w:pgMar w:top="400" w:right="1000" w:bottom="400" w:left="1000" w:header="720" w:footer="720" w:gutter="0"/>
      <w:pgBorders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 xmlns:w="http://schemas.openxmlformats.org/wordprocessingml/2006/main" xmlns:w14="http://schemas.microsoft.com/office/word/2010/wordml" xmlns:w15="http://schemas.microsoft.com/office/word/2012/wordml" mc:Ignorable="w14 w15">
  <w:zoom w:percent="100"/>
  <w:bordersDoNotSurroundFooter w:val="0"/>
  <w:bordersDoNotSurroundHeader w:val="0"/>
  <w:doNotTrackMoves/>
  <w:defaultTabStop w:val="720"/>
  <w:characterSpacingControl w:val="doNotCompress"/>
  <w:compat>
    <w:doNotLeaveBackslashAlone/>
    <w:doNotExpandShiftReturn/>
    <w:adjustLineHeightInTable/>
    <w:compatSetting w:name="compatibilityMode" w:uri="http://schemas.microsoft.com/office/word" w:val="15"/>
  </w:compat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1">
    <w:name w:val="Heading 1"/>
    <w:basedOn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Pr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styles" Target="styles.xml"/><Relationship Id="rId6" Type="http://schemas.openxmlformats.org/officeDocument/2006/relationships/webSettings" Target="webSettings.xml"/><Relationship Id="rId7" Type="http://schemas.openxmlformats.org/officeDocument/2006/relationships/settings" Target="settings.xml"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DocSecurity>0</DocSecurit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2023-12-11T15:46:31Z</dcterms:created>
  <dcterms:modified xsi:type="dcterms:W3CDTF">2023-12-11T15:46:31Z</dcterms:modified>
</cp:coreProperties>
</file>