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致：辽河石油勘探局有限公司物资分公司（招标机构或招标人）</w:t>
      </w:r>
    </w:p>
    <w:p>
      <w:pPr>
        <w:spacing w:line="360" w:lineRule="auto" w:before="0" w:after="0"/>
        <w:ind w:firstLine="420"/>
      </w:pPr>
      <w:r>
        <w:t>根据贵方2020年二级物资集中采购47大类抽油泵增效工具（JC2020-WII-47-05）（项目名称）项目招标采购产品及服务的LYWZ-2020-0311（招标编号）招标文件，授权人代表投标人淮安市井神钻采机具有限公司 （投标人名称）提交下述文件：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1.所附投标价格表中规定的应提交和交付的产品共588项，投标单价详见投标报价表。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日期2022年12月29日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