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1.企业营业执照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2.学历证书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pStyle w:val="Heading5"/>
        <w:spacing w:line="360" w:lineRule="auto" w:before="0" w:after="0"/>
        <w:ind w:firstLine="420"/>
      </w:pPr>
      <w:r>
        <w:t>4.人员构成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4.加工中心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5.线切割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7.设备明细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3.合格供应商名录</w:t>
      </w:r>
    </w:p>
    <w:p>
      <w:pPr>
        <w:pStyle w:val="Heading5"/>
        <w:spacing w:line="360" w:lineRule="auto" w:before="0" w:after="0"/>
        <w:ind w:firstLine="420"/>
      </w:pPr>
      <w:r>
        <w:t>4.原材料入厂质量控制程序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2.多用磁粉探伤仪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3.X射线探伤仪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4.数字特斯拉计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5.螺纹检测量规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6.设备明细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