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仿宋_GB2312" w:hAnsi="仿宋_GB2312" w:eastAsia="仿宋_GB2312" w:cs="仿宋_GB2312"/>
          <w:b/>
          <w:sz w:val="32"/>
          <w:szCs w:val="32"/>
        </w:rPr>
      </w:pPr>
    </w:p>
    <w:p>
      <w:pPr>
        <w:spacing w:line="360" w:lineRule="auto"/>
        <w:ind w:firstLine="260" w:firstLineChars="50"/>
        <w:jc w:val="center"/>
        <w:rPr>
          <w:rFonts w:ascii="仿宋_GB2312" w:hAnsi="仿宋_GB2312" w:eastAsia="仿宋_GB2312" w:cs="仿宋_GB2312"/>
          <w:b/>
          <w:sz w:val="52"/>
          <w:szCs w:val="52"/>
        </w:rPr>
      </w:pPr>
    </w:p>
    <w:p>
      <w:pPr>
        <w:spacing w:line="360" w:lineRule="auto"/>
        <w:ind w:firstLine="260" w:firstLineChars="50"/>
        <w:jc w:val="center"/>
        <w:rPr>
          <w:rFonts w:ascii="仿宋_GB2312" w:hAnsi="仿宋_GB2312" w:eastAsia="仿宋_GB2312" w:cs="仿宋_GB2312"/>
          <w:b/>
          <w:sz w:val="52"/>
          <w:szCs w:val="52"/>
        </w:rPr>
      </w:pPr>
    </w:p>
    <w:p>
      <w:pPr>
        <w:spacing w:line="360" w:lineRule="auto"/>
        <w:ind w:firstLine="260" w:firstLineChars="50"/>
        <w:jc w:val="center"/>
        <w:rPr>
          <w:rFonts w:ascii="仿宋_GB2312" w:hAnsi="仿宋_GB2312" w:eastAsia="仿宋_GB2312" w:cs="仿宋_GB2312"/>
          <w:b/>
          <w:sz w:val="52"/>
          <w:szCs w:val="52"/>
        </w:rPr>
      </w:pPr>
      <w:r>
        <w:rPr>
          <w:rFonts w:hint="eastAsia" w:ascii="仿宋_GB2312" w:hAnsi="仿宋_GB2312" w:eastAsia="仿宋_GB2312" w:cs="仿宋_GB2312"/>
          <w:b/>
          <w:sz w:val="52"/>
          <w:szCs w:val="52"/>
        </w:rPr>
        <w:t>辽宁省政府采购项目</w:t>
      </w:r>
    </w:p>
    <w:p>
      <w:pPr>
        <w:spacing w:line="360" w:lineRule="auto"/>
        <w:ind w:firstLine="120" w:firstLineChars="50"/>
        <w:jc w:val="center"/>
        <w:rPr>
          <w:rFonts w:ascii="仿宋_GB2312" w:hAnsi="仿宋_GB2312" w:eastAsia="仿宋_GB2312" w:cs="仿宋_GB2312"/>
          <w:b/>
          <w:sz w:val="24"/>
        </w:rPr>
      </w:pPr>
    </w:p>
    <w:p>
      <w:pPr>
        <w:spacing w:line="360" w:lineRule="auto"/>
        <w:ind w:firstLine="240" w:firstLineChars="50"/>
        <w:jc w:val="center"/>
        <w:rPr>
          <w:rFonts w:ascii="仿宋_GB2312" w:hAnsi="仿宋_GB2312" w:eastAsia="仿宋_GB2312" w:cs="仿宋_GB2312"/>
          <w:b/>
          <w:sz w:val="48"/>
          <w:szCs w:val="48"/>
        </w:rPr>
      </w:pPr>
      <w:r>
        <w:rPr>
          <w:rFonts w:hint="eastAsia" w:ascii="仿宋_GB2312" w:hAnsi="仿宋_GB2312" w:eastAsia="仿宋_GB2312" w:cs="仿宋_GB2312"/>
          <w:b/>
          <w:sz w:val="48"/>
          <w:szCs w:val="48"/>
        </w:rPr>
        <w:t>货物类公开招标</w:t>
      </w:r>
    </w:p>
    <w:p>
      <w:pPr>
        <w:spacing w:line="360" w:lineRule="auto"/>
        <w:ind w:firstLine="120" w:firstLineChars="50"/>
        <w:jc w:val="center"/>
        <w:rPr>
          <w:rFonts w:ascii="仿宋_GB2312" w:hAnsi="仿宋_GB2312" w:eastAsia="仿宋_GB2312" w:cs="仿宋_GB2312"/>
          <w:b/>
          <w:sz w:val="24"/>
        </w:rPr>
      </w:pPr>
    </w:p>
    <w:p>
      <w:pPr>
        <w:spacing w:line="360" w:lineRule="auto"/>
        <w:ind w:firstLine="240" w:firstLineChars="50"/>
        <w:jc w:val="center"/>
        <w:rPr>
          <w:rFonts w:ascii="仿宋_GB2312" w:hAnsi="仿宋_GB2312" w:eastAsia="仿宋_GB2312" w:cs="仿宋_GB2312"/>
          <w:b/>
          <w:sz w:val="48"/>
          <w:szCs w:val="48"/>
        </w:rPr>
      </w:pPr>
      <w:r>
        <w:rPr>
          <w:rFonts w:hint="eastAsia" w:ascii="仿宋_GB2312" w:hAnsi="仿宋_GB2312" w:eastAsia="仿宋_GB2312" w:cs="仿宋_GB2312"/>
          <w:b/>
          <w:sz w:val="48"/>
          <w:szCs w:val="48"/>
        </w:rPr>
        <w:t>招标文件</w:t>
      </w: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360" w:lineRule="auto"/>
        <w:ind w:firstLine="1080" w:firstLineChars="300"/>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sz w:val="36"/>
          <w:szCs w:val="36"/>
        </w:rPr>
        <w:t>项目名称：</w:t>
      </w:r>
      <w:r>
        <w:rPr>
          <w:rFonts w:hint="eastAsia" w:ascii="仿宋_GB2312" w:hAnsi="仿宋_GB2312" w:eastAsia="仿宋_GB2312" w:cs="仿宋_GB2312"/>
          <w:b w:val="0"/>
          <w:bCs/>
          <w:sz w:val="28"/>
          <w:szCs w:val="28"/>
          <w:lang w:eastAsia="zh-CN"/>
        </w:rPr>
        <w:t>喀左县教育局营养改善计划米、油采购项目</w:t>
      </w:r>
    </w:p>
    <w:p>
      <w:pPr>
        <w:spacing w:line="360" w:lineRule="auto"/>
        <w:ind w:firstLine="1080" w:firstLineChars="3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sz w:val="36"/>
          <w:szCs w:val="36"/>
        </w:rPr>
        <w:t>项目编号：</w:t>
      </w:r>
      <w:r>
        <w:rPr>
          <w:rFonts w:hint="eastAsia" w:ascii="仿宋_GB2312" w:hAnsi="仿宋_GB2312" w:eastAsia="仿宋_GB2312" w:cs="仿宋_GB2312"/>
          <w:b w:val="0"/>
          <w:bCs/>
          <w:sz w:val="28"/>
          <w:szCs w:val="28"/>
        </w:rPr>
        <w:t>KZZFCG-20</w:t>
      </w:r>
      <w:r>
        <w:rPr>
          <w:rFonts w:hint="eastAsia" w:ascii="仿宋_GB2312" w:hAnsi="仿宋_GB2312" w:eastAsia="仿宋_GB2312" w:cs="仿宋_GB2312"/>
          <w:b w:val="0"/>
          <w:bCs/>
          <w:sz w:val="28"/>
          <w:szCs w:val="28"/>
          <w:lang w:val="en-US" w:eastAsia="zh-CN"/>
        </w:rPr>
        <w:t>22</w:t>
      </w:r>
      <w:r>
        <w:rPr>
          <w:rFonts w:hint="eastAsia" w:ascii="仿宋_GB2312" w:hAnsi="仿宋_GB2312" w:eastAsia="仿宋_GB2312" w:cs="仿宋_GB2312"/>
          <w:b w:val="0"/>
          <w:bCs/>
          <w:sz w:val="28"/>
          <w:szCs w:val="28"/>
        </w:rPr>
        <w:t>-</w:t>
      </w:r>
      <w:r>
        <w:rPr>
          <w:rFonts w:hint="eastAsia" w:ascii="仿宋_GB2312" w:hAnsi="仿宋_GB2312" w:eastAsia="仿宋_GB2312" w:cs="仿宋_GB2312"/>
          <w:b w:val="0"/>
          <w:bCs/>
          <w:sz w:val="28"/>
          <w:szCs w:val="28"/>
          <w:lang w:val="en-US" w:eastAsia="zh-CN"/>
        </w:rPr>
        <w:t>090</w:t>
      </w:r>
    </w:p>
    <w:p>
      <w:pPr>
        <w:spacing w:line="360" w:lineRule="auto"/>
        <w:ind w:firstLine="1080" w:firstLineChars="300"/>
        <w:rPr>
          <w:rFonts w:hint="eastAsia" w:ascii="仿宋_GB2312" w:hAnsi="仿宋_GB2312" w:eastAsia="仿宋_GB2312" w:cs="仿宋_GB2312"/>
          <w:b w:val="0"/>
          <w:bCs/>
          <w:sz w:val="28"/>
          <w:szCs w:val="28"/>
          <w:lang w:eastAsia="zh-CN"/>
        </w:rPr>
        <w:sectPr>
          <w:pgSz w:w="11906" w:h="16838"/>
          <w:pgMar w:top="1440" w:right="1800" w:bottom="1440" w:left="1800" w:header="851" w:footer="992" w:gutter="0"/>
          <w:cols w:space="720" w:num="1"/>
          <w:docGrid w:type="linesAndChars" w:linePitch="312" w:charSpace="0"/>
        </w:sectPr>
      </w:pPr>
      <w:r>
        <w:rPr>
          <w:rFonts w:hint="eastAsia" w:ascii="仿宋_GB2312" w:hAnsi="仿宋_GB2312" w:eastAsia="仿宋_GB2312" w:cs="仿宋_GB2312"/>
          <w:b/>
          <w:sz w:val="36"/>
          <w:szCs w:val="36"/>
        </w:rPr>
        <w:t>编制单位：</w:t>
      </w:r>
      <w:r>
        <w:rPr>
          <w:rFonts w:hint="eastAsia" w:ascii="仿宋_GB2312" w:hAnsi="仿宋_GB2312" w:eastAsia="仿宋_GB2312" w:cs="仿宋_GB2312"/>
          <w:b w:val="0"/>
          <w:bCs/>
          <w:sz w:val="28"/>
          <w:szCs w:val="28"/>
          <w:lang w:eastAsia="zh-CN"/>
        </w:rPr>
        <w:t>喀左县政府采购中心</w:t>
      </w:r>
    </w:p>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目  录</w:t>
      </w:r>
    </w:p>
    <w:p>
      <w:pPr>
        <w:jc w:val="center"/>
        <w:rPr>
          <w:rFonts w:ascii="仿宋_GB2312" w:hAnsi="仿宋_GB2312" w:eastAsia="仿宋_GB2312" w:cs="仿宋_GB2312"/>
          <w:b/>
          <w:bCs/>
          <w:sz w:val="44"/>
          <w:szCs w:val="44"/>
        </w:rPr>
      </w:pPr>
    </w:p>
    <w:p>
      <w:pPr>
        <w:pStyle w:val="15"/>
        <w:tabs>
          <w:tab w:val="right" w:leader="dot" w:pos="8306"/>
        </w:tabs>
        <w:spacing w:line="480" w:lineRule="auto"/>
        <w:rPr>
          <w:b/>
          <w:bCs/>
          <w:sz w:val="24"/>
          <w:lang/>
        </w:rPr>
      </w:pPr>
      <w:r>
        <w:rPr>
          <w:b/>
          <w:bCs/>
          <w:sz w:val="24"/>
        </w:rPr>
        <w:fldChar w:fldCharType="begin"/>
      </w:r>
      <w:r>
        <w:rPr>
          <w:b/>
          <w:bCs/>
          <w:sz w:val="24"/>
        </w:rPr>
        <w:instrText xml:space="preserve">TOC \o "1-1" \h \u </w:instrText>
      </w:r>
      <w:r>
        <w:rPr>
          <w:b/>
          <w:bCs/>
          <w:sz w:val="24"/>
        </w:rPr>
        <w:fldChar w:fldCharType="separate"/>
      </w:r>
      <w:r>
        <w:rPr>
          <w:lang/>
        </w:rPr>
        <w:fldChar w:fldCharType="begin"/>
      </w:r>
      <w:r>
        <w:rPr>
          <w:lang/>
        </w:rPr>
        <w:instrText xml:space="preserve"> HYPERLINK \l "_Toc7381" </w:instrText>
      </w:r>
      <w:r>
        <w:rPr>
          <w:lang/>
        </w:rPr>
        <w:fldChar w:fldCharType="separate"/>
      </w:r>
      <w:r>
        <w:rPr>
          <w:rFonts w:hint="eastAsia" w:ascii="仿宋_GB2312" w:hAnsi="仿宋_GB2312" w:eastAsia="仿宋_GB2312" w:cs="仿宋_GB2312"/>
          <w:b/>
          <w:bCs/>
          <w:sz w:val="24"/>
          <w:lang/>
        </w:rPr>
        <w:t>招标公告</w:t>
      </w:r>
      <w:r>
        <w:rPr>
          <w:b/>
          <w:bCs/>
          <w:sz w:val="24"/>
          <w:lang/>
        </w:rPr>
        <w:tab/>
      </w:r>
      <w:r>
        <w:rPr>
          <w:b/>
          <w:bCs/>
          <w:sz w:val="24"/>
          <w:lang/>
        </w:rPr>
        <w:fldChar w:fldCharType="begin"/>
      </w:r>
      <w:r>
        <w:rPr>
          <w:b/>
          <w:bCs/>
          <w:sz w:val="24"/>
          <w:lang/>
        </w:rPr>
        <w:instrText xml:space="preserve"> PAGEREF _Toc7381 </w:instrText>
      </w:r>
      <w:r>
        <w:rPr>
          <w:b/>
          <w:bCs/>
          <w:sz w:val="24"/>
          <w:lang/>
        </w:rPr>
        <w:fldChar w:fldCharType="separate"/>
      </w:r>
      <w:r>
        <w:rPr>
          <w:b/>
          <w:bCs/>
          <w:sz w:val="24"/>
          <w:lang/>
        </w:rPr>
        <w:t>1</w:t>
      </w:r>
      <w:r>
        <w:rPr>
          <w:b/>
          <w:bCs/>
          <w:sz w:val="24"/>
          <w:lang/>
        </w:rPr>
        <w:fldChar w:fldCharType="end"/>
      </w:r>
      <w:r>
        <w:rPr>
          <w:b/>
          <w:bCs/>
          <w:sz w:val="24"/>
          <w:lang/>
        </w:rPr>
        <w:fldChar w:fldCharType="end"/>
      </w:r>
    </w:p>
    <w:p>
      <w:pPr>
        <w:pStyle w:val="15"/>
        <w:tabs>
          <w:tab w:val="right" w:leader="dot" w:pos="8306"/>
        </w:tabs>
        <w:spacing w:line="480" w:lineRule="auto"/>
        <w:rPr>
          <w:b/>
          <w:bCs/>
          <w:sz w:val="24"/>
          <w:lang/>
        </w:rPr>
      </w:pPr>
      <w:r>
        <w:rPr>
          <w:lang/>
        </w:rPr>
        <w:fldChar w:fldCharType="begin"/>
      </w:r>
      <w:r>
        <w:rPr>
          <w:lang/>
        </w:rPr>
        <w:instrText xml:space="preserve"> HYPERLINK \l "_Toc9614" </w:instrText>
      </w:r>
      <w:r>
        <w:rPr>
          <w:lang/>
        </w:rPr>
        <w:fldChar w:fldCharType="separate"/>
      </w:r>
      <w:r>
        <w:rPr>
          <w:rFonts w:hint="eastAsia" w:ascii="仿宋_GB2312" w:hAnsi="仿宋_GB2312" w:eastAsia="仿宋_GB2312" w:cs="仿宋_GB2312"/>
          <w:b/>
          <w:bCs/>
          <w:sz w:val="24"/>
          <w:lang/>
        </w:rPr>
        <w:t>第一章 投标人须知</w:t>
      </w:r>
      <w:r>
        <w:rPr>
          <w:b/>
          <w:bCs/>
          <w:sz w:val="24"/>
          <w:lang/>
        </w:rPr>
        <w:tab/>
      </w:r>
      <w:r>
        <w:rPr>
          <w:b/>
          <w:bCs/>
          <w:sz w:val="24"/>
          <w:lang/>
        </w:rPr>
        <w:fldChar w:fldCharType="begin"/>
      </w:r>
      <w:r>
        <w:rPr>
          <w:b/>
          <w:bCs/>
          <w:sz w:val="24"/>
          <w:lang/>
        </w:rPr>
        <w:instrText xml:space="preserve"> PAGEREF _Toc9614 </w:instrText>
      </w:r>
      <w:r>
        <w:rPr>
          <w:b/>
          <w:bCs/>
          <w:sz w:val="24"/>
          <w:lang/>
        </w:rPr>
        <w:fldChar w:fldCharType="separate"/>
      </w:r>
      <w:r>
        <w:rPr>
          <w:b/>
          <w:bCs/>
          <w:sz w:val="24"/>
          <w:lang/>
        </w:rPr>
        <w:t>3</w:t>
      </w:r>
      <w:r>
        <w:rPr>
          <w:b/>
          <w:bCs/>
          <w:sz w:val="24"/>
          <w:lang/>
        </w:rPr>
        <w:fldChar w:fldCharType="end"/>
      </w:r>
      <w:r>
        <w:rPr>
          <w:b/>
          <w:bCs/>
          <w:sz w:val="24"/>
          <w:lang/>
        </w:rPr>
        <w:fldChar w:fldCharType="end"/>
      </w:r>
    </w:p>
    <w:p>
      <w:pPr>
        <w:pStyle w:val="15"/>
        <w:tabs>
          <w:tab w:val="right" w:leader="dot" w:pos="8306"/>
        </w:tabs>
        <w:spacing w:line="480" w:lineRule="auto"/>
        <w:rPr>
          <w:b/>
          <w:bCs/>
          <w:sz w:val="24"/>
          <w:lang/>
        </w:rPr>
      </w:pPr>
      <w:r>
        <w:rPr>
          <w:lang/>
        </w:rPr>
        <w:fldChar w:fldCharType="begin"/>
      </w:r>
      <w:r>
        <w:rPr>
          <w:lang/>
        </w:rPr>
        <w:instrText xml:space="preserve"> HYPERLINK \l "_Toc6403" </w:instrText>
      </w:r>
      <w:r>
        <w:rPr>
          <w:lang/>
        </w:rPr>
        <w:fldChar w:fldCharType="separate"/>
      </w:r>
      <w:r>
        <w:rPr>
          <w:rFonts w:hint="eastAsia" w:ascii="仿宋_GB2312" w:hAnsi="仿宋_GB2312" w:eastAsia="仿宋_GB2312" w:cs="仿宋_GB2312"/>
          <w:b/>
          <w:bCs/>
          <w:sz w:val="24"/>
          <w:lang/>
        </w:rPr>
        <w:t>第二章 投标文件内容及格式</w:t>
      </w:r>
      <w:r>
        <w:rPr>
          <w:b/>
          <w:bCs/>
          <w:sz w:val="24"/>
          <w:lang/>
        </w:rPr>
        <w:tab/>
      </w:r>
      <w:r>
        <w:rPr>
          <w:b/>
          <w:bCs/>
          <w:sz w:val="24"/>
          <w:lang/>
        </w:rPr>
        <w:fldChar w:fldCharType="begin"/>
      </w:r>
      <w:r>
        <w:rPr>
          <w:b/>
          <w:bCs/>
          <w:sz w:val="24"/>
          <w:lang/>
        </w:rPr>
        <w:instrText xml:space="preserve"> PAGEREF _Toc6403 </w:instrText>
      </w:r>
      <w:r>
        <w:rPr>
          <w:b/>
          <w:bCs/>
          <w:sz w:val="24"/>
          <w:lang/>
        </w:rPr>
        <w:fldChar w:fldCharType="separate"/>
      </w:r>
      <w:r>
        <w:rPr>
          <w:b/>
          <w:bCs/>
          <w:sz w:val="24"/>
          <w:lang/>
        </w:rPr>
        <w:t>18</w:t>
      </w:r>
      <w:r>
        <w:rPr>
          <w:b/>
          <w:bCs/>
          <w:sz w:val="24"/>
          <w:lang/>
        </w:rPr>
        <w:fldChar w:fldCharType="end"/>
      </w:r>
      <w:r>
        <w:rPr>
          <w:b/>
          <w:bCs/>
          <w:sz w:val="24"/>
          <w:lang/>
        </w:rPr>
        <w:fldChar w:fldCharType="end"/>
      </w:r>
    </w:p>
    <w:p>
      <w:pPr>
        <w:pStyle w:val="15"/>
        <w:tabs>
          <w:tab w:val="right" w:leader="dot" w:pos="8306"/>
        </w:tabs>
        <w:spacing w:line="480" w:lineRule="auto"/>
        <w:rPr>
          <w:b/>
          <w:bCs/>
          <w:sz w:val="24"/>
          <w:lang/>
        </w:rPr>
      </w:pPr>
      <w:r>
        <w:rPr>
          <w:lang/>
        </w:rPr>
        <w:fldChar w:fldCharType="begin"/>
      </w:r>
      <w:r>
        <w:rPr>
          <w:lang/>
        </w:rPr>
        <w:instrText xml:space="preserve"> HYPERLINK \l "_Toc17590" </w:instrText>
      </w:r>
      <w:r>
        <w:rPr>
          <w:lang/>
        </w:rPr>
        <w:fldChar w:fldCharType="separate"/>
      </w:r>
      <w:r>
        <w:rPr>
          <w:rFonts w:hint="eastAsia" w:ascii="仿宋_GB2312" w:hAnsi="仿宋_GB2312" w:eastAsia="仿宋_GB2312" w:cs="仿宋_GB2312"/>
          <w:b/>
          <w:bCs/>
          <w:sz w:val="24"/>
          <w:lang/>
        </w:rPr>
        <w:t>第三章 货物需求</w:t>
      </w:r>
      <w:r>
        <w:rPr>
          <w:b/>
          <w:bCs/>
          <w:sz w:val="24"/>
          <w:lang/>
        </w:rPr>
        <w:tab/>
      </w:r>
      <w:r>
        <w:rPr>
          <w:b/>
          <w:bCs/>
          <w:sz w:val="24"/>
          <w:lang/>
        </w:rPr>
        <w:fldChar w:fldCharType="begin"/>
      </w:r>
      <w:r>
        <w:rPr>
          <w:b/>
          <w:bCs/>
          <w:sz w:val="24"/>
          <w:lang/>
        </w:rPr>
        <w:instrText xml:space="preserve"> PAGEREF _Toc17590 </w:instrText>
      </w:r>
      <w:r>
        <w:rPr>
          <w:b/>
          <w:bCs/>
          <w:sz w:val="24"/>
          <w:lang/>
        </w:rPr>
        <w:fldChar w:fldCharType="separate"/>
      </w:r>
      <w:r>
        <w:rPr>
          <w:b/>
          <w:bCs/>
          <w:sz w:val="24"/>
          <w:lang/>
        </w:rPr>
        <w:t>39</w:t>
      </w:r>
      <w:r>
        <w:rPr>
          <w:b/>
          <w:bCs/>
          <w:sz w:val="24"/>
          <w:lang/>
        </w:rPr>
        <w:fldChar w:fldCharType="end"/>
      </w:r>
      <w:r>
        <w:rPr>
          <w:b/>
          <w:bCs/>
          <w:sz w:val="24"/>
          <w:lang/>
        </w:rPr>
        <w:fldChar w:fldCharType="end"/>
      </w:r>
    </w:p>
    <w:p>
      <w:pPr>
        <w:pStyle w:val="15"/>
        <w:tabs>
          <w:tab w:val="right" w:leader="dot" w:pos="8306"/>
        </w:tabs>
        <w:spacing w:line="480" w:lineRule="auto"/>
        <w:rPr>
          <w:b/>
          <w:bCs/>
          <w:sz w:val="24"/>
          <w:lang/>
        </w:rPr>
      </w:pPr>
      <w:r>
        <w:rPr>
          <w:lang/>
        </w:rPr>
        <w:fldChar w:fldCharType="begin"/>
      </w:r>
      <w:r>
        <w:rPr>
          <w:lang/>
        </w:rPr>
        <w:instrText xml:space="preserve"> HYPERLINK \l "_Toc25237" </w:instrText>
      </w:r>
      <w:r>
        <w:rPr>
          <w:lang/>
        </w:rPr>
        <w:fldChar w:fldCharType="separate"/>
      </w:r>
      <w:r>
        <w:rPr>
          <w:rFonts w:hint="eastAsia" w:ascii="仿宋_GB2312" w:hAnsi="仿宋_GB2312" w:eastAsia="仿宋_GB2312" w:cs="仿宋_GB2312"/>
          <w:b/>
          <w:bCs/>
          <w:sz w:val="24"/>
          <w:lang/>
        </w:rPr>
        <w:t>第四章 评标方法</w:t>
      </w:r>
      <w:r>
        <w:rPr>
          <w:b/>
          <w:bCs/>
          <w:sz w:val="24"/>
          <w:lang/>
        </w:rPr>
        <w:tab/>
      </w:r>
      <w:r>
        <w:rPr>
          <w:b/>
          <w:bCs/>
          <w:sz w:val="24"/>
          <w:lang/>
        </w:rPr>
        <w:fldChar w:fldCharType="end"/>
      </w:r>
    </w:p>
    <w:p>
      <w:pPr>
        <w:pStyle w:val="15"/>
        <w:tabs>
          <w:tab w:val="right" w:leader="dot" w:pos="8306"/>
        </w:tabs>
        <w:spacing w:line="480" w:lineRule="auto"/>
        <w:rPr>
          <w:b/>
          <w:bCs/>
          <w:sz w:val="24"/>
          <w:lang/>
        </w:rPr>
      </w:pPr>
      <w:r>
        <w:rPr>
          <w:lang/>
        </w:rPr>
        <w:fldChar w:fldCharType="begin"/>
      </w:r>
      <w:r>
        <w:rPr>
          <w:lang/>
        </w:rPr>
        <w:instrText xml:space="preserve"> HYPERLINK \l "_Toc19588" </w:instrText>
      </w:r>
      <w:r>
        <w:rPr>
          <w:lang/>
        </w:rPr>
        <w:fldChar w:fldCharType="separate"/>
      </w:r>
      <w:r>
        <w:rPr>
          <w:rFonts w:hint="eastAsia" w:ascii="仿宋_GB2312" w:hAnsi="仿宋_GB2312" w:eastAsia="仿宋_GB2312" w:cs="仿宋_GB2312"/>
          <w:b/>
          <w:bCs/>
          <w:sz w:val="24"/>
          <w:lang/>
        </w:rPr>
        <w:t>第五章 政府采购合同条款及格式</w:t>
      </w:r>
      <w:r>
        <w:rPr>
          <w:b/>
          <w:bCs/>
          <w:sz w:val="24"/>
          <w:lang/>
        </w:rPr>
        <w:tab/>
      </w:r>
      <w:r>
        <w:rPr>
          <w:b/>
          <w:bCs/>
          <w:sz w:val="24"/>
          <w:lang/>
        </w:rPr>
        <w:fldChar w:fldCharType="begin"/>
      </w:r>
      <w:r>
        <w:rPr>
          <w:b/>
          <w:bCs/>
          <w:sz w:val="24"/>
          <w:lang/>
        </w:rPr>
        <w:instrText xml:space="preserve"> PAGEREF _Toc19588 </w:instrText>
      </w:r>
      <w:r>
        <w:rPr>
          <w:b/>
          <w:bCs/>
          <w:sz w:val="24"/>
          <w:lang/>
        </w:rPr>
        <w:fldChar w:fldCharType="separate"/>
      </w:r>
      <w:r>
        <w:rPr>
          <w:b/>
          <w:bCs/>
          <w:sz w:val="24"/>
          <w:lang/>
        </w:rPr>
        <w:t>51</w:t>
      </w:r>
      <w:r>
        <w:rPr>
          <w:b/>
          <w:bCs/>
          <w:sz w:val="24"/>
          <w:lang/>
        </w:rPr>
        <w:fldChar w:fldCharType="end"/>
      </w:r>
      <w:r>
        <w:rPr>
          <w:b/>
          <w:bCs/>
          <w:sz w:val="24"/>
          <w:lang/>
        </w:rPr>
        <w:fldChar w:fldCharType="end"/>
      </w:r>
    </w:p>
    <w:p>
      <w:pPr>
        <w:spacing w:line="480" w:lineRule="auto"/>
      </w:pPr>
      <w:r>
        <w:rPr>
          <w:b/>
          <w:bCs/>
          <w:sz w:val="24"/>
        </w:rPr>
        <w:fldChar w:fldCharType="end"/>
      </w:r>
    </w:p>
    <w:p>
      <w:pPr>
        <w:pStyle w:val="3"/>
        <w:rPr>
          <w:rFonts w:ascii="仿宋_GB2312" w:hAnsi="仿宋_GB2312" w:eastAsia="仿宋_GB2312" w:cs="仿宋_GB2312"/>
        </w:rPr>
        <w:sectPr>
          <w:footerReference r:id="rId3" w:type="default"/>
          <w:pgSz w:w="11906" w:h="16838"/>
          <w:pgMar w:top="1440" w:right="1800" w:bottom="1440" w:left="1800" w:header="851" w:footer="992" w:gutter="0"/>
          <w:pgNumType w:start="1"/>
          <w:cols w:space="720" w:num="1"/>
          <w:docGrid w:type="linesAndChars" w:linePitch="312" w:charSpace="0"/>
        </w:sectPr>
      </w:pPr>
      <w:bookmarkStart w:id="0" w:name="_Toc7381"/>
      <w:bookmarkStart w:id="1" w:name="_Toc1124_WPSOffice_Level1"/>
    </w:p>
    <w:p>
      <w:pPr>
        <w:pStyle w:val="3"/>
        <w:rPr>
          <w:rFonts w:ascii="仿宋_GB2312" w:hAnsi="仿宋_GB2312" w:eastAsia="仿宋_GB2312" w:cs="仿宋_GB2312"/>
        </w:rPr>
      </w:pPr>
      <w:r>
        <w:rPr>
          <w:rFonts w:hint="eastAsia" w:ascii="仿宋_GB2312" w:hAnsi="仿宋_GB2312" w:eastAsia="仿宋_GB2312" w:cs="仿宋_GB2312"/>
          <w:b/>
          <w:bCs w:val="0"/>
          <w:sz w:val="44"/>
          <w:szCs w:val="44"/>
          <w:lang w:eastAsia="zh-CN"/>
        </w:rPr>
        <w:t>喀左县教育局营养改善计划米、油采购项目</w:t>
      </w:r>
      <w:r>
        <w:rPr>
          <w:rFonts w:hint="eastAsia" w:ascii="仿宋_GB2312" w:hAnsi="仿宋_GB2312" w:eastAsia="仿宋_GB2312" w:cs="仿宋_GB2312"/>
        </w:rPr>
        <w:t>招标公告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20" w:firstLineChars="200"/>
        <w:rPr>
          <w:rFonts w:ascii="仿宋" w:hAnsi="仿宋"/>
          <w:szCs w:val="21"/>
        </w:rPr>
      </w:pPr>
      <w:r>
        <w:rPr>
          <w:rFonts w:hint="eastAsia" w:ascii="仿宋" w:hAnsi="仿宋"/>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仿宋" w:hAnsi="仿宋" w:eastAsia="仿宋" w:cs="仿宋"/>
          <w:sz w:val="21"/>
          <w:szCs w:val="21"/>
        </w:rPr>
      </w:pPr>
      <w:r>
        <w:rPr>
          <w:rFonts w:hint="eastAsia" w:ascii="仿宋" w:hAnsi="仿宋"/>
          <w:szCs w:val="21"/>
          <w:u w:val="single"/>
        </w:rPr>
        <w:t xml:space="preserve"> </w:t>
      </w:r>
      <w:r>
        <w:rPr>
          <w:rFonts w:hint="eastAsia" w:ascii="仿宋" w:hAnsi="仿宋" w:eastAsia="仿宋" w:cs="仿宋"/>
          <w:sz w:val="21"/>
          <w:szCs w:val="21"/>
          <w:u w:val="single"/>
        </w:rPr>
        <w:t>(</w:t>
      </w:r>
      <w:r>
        <w:rPr>
          <w:rFonts w:hint="eastAsia" w:ascii="仿宋" w:hAnsi="仿宋" w:eastAsia="仿宋" w:cs="仿宋"/>
          <w:b w:val="0"/>
          <w:bCs/>
          <w:sz w:val="21"/>
          <w:szCs w:val="21"/>
          <w:u w:val="single"/>
          <w:lang w:eastAsia="zh-CN"/>
        </w:rPr>
        <w:t>喀左县教育局营养改善计划米、油采购</w:t>
      </w:r>
      <w:r>
        <w:rPr>
          <w:rFonts w:hint="eastAsia" w:ascii="仿宋" w:hAnsi="仿宋" w:cs="仿宋"/>
          <w:b w:val="0"/>
          <w:bCs/>
          <w:sz w:val="21"/>
          <w:szCs w:val="21"/>
          <w:u w:val="single"/>
          <w:lang w:eastAsia="zh-CN"/>
        </w:rPr>
        <w:t>项目</w:t>
      </w:r>
      <w:r>
        <w:rPr>
          <w:rFonts w:hint="eastAsia" w:ascii="仿宋" w:hAnsi="仿宋" w:eastAsia="仿宋" w:cs="仿宋"/>
          <w:sz w:val="21"/>
          <w:szCs w:val="21"/>
          <w:u w:val="single"/>
        </w:rPr>
        <w:t>)</w:t>
      </w:r>
      <w:r>
        <w:rPr>
          <w:rFonts w:hint="eastAsia" w:ascii="仿宋" w:hAnsi="仿宋" w:eastAsia="仿宋" w:cs="仿宋"/>
          <w:sz w:val="21"/>
          <w:szCs w:val="21"/>
        </w:rPr>
        <w:t xml:space="preserve"> 招标项目的潜在供应商应在</w:t>
      </w:r>
      <w:r>
        <w:rPr>
          <w:rFonts w:hint="eastAsia" w:ascii="仿宋" w:hAnsi="仿宋" w:eastAsia="仿宋" w:cs="仿宋"/>
          <w:i w:val="0"/>
          <w:iCs w:val="0"/>
          <w:sz w:val="21"/>
          <w:szCs w:val="21"/>
          <w:u w:val="single"/>
          <w:lang w:eastAsia="zh-CN"/>
        </w:rPr>
        <w:t>喀左县政府采购中心</w:t>
      </w:r>
      <w:r>
        <w:rPr>
          <w:rFonts w:hint="eastAsia" w:ascii="仿宋" w:hAnsi="仿宋" w:eastAsia="仿宋" w:cs="仿宋"/>
          <w:sz w:val="21"/>
          <w:szCs w:val="21"/>
        </w:rPr>
        <w:t>获取招标文件，并于</w:t>
      </w:r>
      <w:r>
        <w:rPr>
          <w:rFonts w:hint="eastAsia" w:ascii="仿宋" w:hAnsi="仿宋" w:eastAsia="仿宋" w:cs="仿宋"/>
          <w:sz w:val="21"/>
          <w:szCs w:val="21"/>
          <w:u w:val="single"/>
        </w:rPr>
        <w:t xml:space="preserve">  </w:t>
      </w:r>
      <w:r>
        <w:rPr>
          <w:rFonts w:hint="eastAsia" w:ascii="仿宋" w:hAnsi="仿宋" w:cs="仿宋"/>
          <w:sz w:val="21"/>
          <w:szCs w:val="21"/>
          <w:u w:val="single"/>
          <w:lang w:val="en-US" w:eastAsia="zh-CN"/>
        </w:rPr>
        <w:t>2022</w:t>
      </w:r>
      <w:r>
        <w:rPr>
          <w:rFonts w:hint="eastAsia" w:ascii="仿宋" w:hAnsi="仿宋" w:eastAsia="仿宋" w:cs="仿宋"/>
          <w:bCs/>
          <w:sz w:val="21"/>
          <w:szCs w:val="21"/>
          <w:u w:val="single"/>
        </w:rPr>
        <w:t>年</w:t>
      </w:r>
      <w:r>
        <w:rPr>
          <w:rFonts w:hint="eastAsia" w:ascii="仿宋" w:hAnsi="仿宋" w:cs="仿宋"/>
          <w:bCs/>
          <w:sz w:val="21"/>
          <w:szCs w:val="21"/>
          <w:u w:val="single"/>
          <w:lang w:val="en-US" w:eastAsia="zh-CN"/>
        </w:rPr>
        <w:t>8</w:t>
      </w:r>
      <w:r>
        <w:rPr>
          <w:rFonts w:hint="eastAsia" w:ascii="仿宋" w:hAnsi="仿宋" w:eastAsia="仿宋" w:cs="仿宋"/>
          <w:bCs/>
          <w:sz w:val="21"/>
          <w:szCs w:val="21"/>
          <w:u w:val="single"/>
        </w:rPr>
        <w:t>月</w:t>
      </w:r>
      <w:r>
        <w:rPr>
          <w:rFonts w:hint="eastAsia" w:ascii="仿宋" w:hAnsi="仿宋" w:cs="仿宋"/>
          <w:bCs/>
          <w:sz w:val="21"/>
          <w:szCs w:val="21"/>
          <w:u w:val="single"/>
          <w:lang w:val="en-US" w:eastAsia="zh-CN"/>
        </w:rPr>
        <w:t>9</w:t>
      </w:r>
      <w:r>
        <w:rPr>
          <w:rFonts w:hint="eastAsia" w:ascii="仿宋" w:hAnsi="仿宋" w:eastAsia="仿宋" w:cs="仿宋"/>
          <w:bCs/>
          <w:sz w:val="21"/>
          <w:szCs w:val="21"/>
          <w:u w:val="single"/>
        </w:rPr>
        <w:t xml:space="preserve">日 </w:t>
      </w:r>
      <w:r>
        <w:rPr>
          <w:rFonts w:hint="eastAsia" w:ascii="仿宋" w:hAnsi="仿宋" w:cs="仿宋"/>
          <w:bCs/>
          <w:sz w:val="21"/>
          <w:szCs w:val="21"/>
          <w:u w:val="single"/>
          <w:lang w:val="en-US" w:eastAsia="zh-CN"/>
        </w:rPr>
        <w:t>9</w:t>
      </w:r>
      <w:r>
        <w:rPr>
          <w:rFonts w:hint="eastAsia" w:ascii="仿宋" w:hAnsi="仿宋" w:eastAsia="仿宋" w:cs="仿宋"/>
          <w:bCs/>
          <w:sz w:val="21"/>
          <w:szCs w:val="21"/>
          <w:u w:val="single"/>
        </w:rPr>
        <w:t xml:space="preserve"> 点</w:t>
      </w:r>
      <w:r>
        <w:rPr>
          <w:rFonts w:hint="eastAsia" w:ascii="仿宋" w:hAnsi="仿宋" w:cs="仿宋"/>
          <w:bCs/>
          <w:sz w:val="21"/>
          <w:szCs w:val="21"/>
          <w:u w:val="single"/>
          <w:lang w:val="en-US" w:eastAsia="zh-CN"/>
        </w:rPr>
        <w:t>00</w:t>
      </w:r>
      <w:r>
        <w:rPr>
          <w:rFonts w:hint="eastAsia" w:ascii="仿宋" w:hAnsi="仿宋" w:eastAsia="仿宋" w:cs="仿宋"/>
          <w:bCs/>
          <w:sz w:val="21"/>
          <w:szCs w:val="21"/>
          <w:u w:val="single"/>
        </w:rPr>
        <w:t>分（</w:t>
      </w:r>
      <w:r>
        <w:rPr>
          <w:rFonts w:hint="eastAsia" w:ascii="仿宋" w:hAnsi="仿宋" w:eastAsia="仿宋" w:cs="仿宋"/>
          <w:bCs/>
          <w:sz w:val="21"/>
          <w:szCs w:val="21"/>
        </w:rPr>
        <w:t>北京时间）前递交投标文件</w:t>
      </w:r>
      <w:r>
        <w:rPr>
          <w:rFonts w:hint="eastAsia" w:ascii="仿宋" w:hAnsi="仿宋" w:eastAsia="仿宋" w:cs="仿宋"/>
          <w:sz w:val="21"/>
          <w:szCs w:val="21"/>
        </w:rPr>
        <w:t>。</w:t>
      </w:r>
    </w:p>
    <w:p>
      <w:pPr>
        <w:widowControl/>
        <w:adjustRightInd w:val="0"/>
        <w:snapToGrid w:val="0"/>
        <w:spacing w:line="360" w:lineRule="auto"/>
        <w:ind w:firstLine="420" w:firstLineChars="200"/>
        <w:jc w:val="left"/>
        <w:rPr>
          <w:rFonts w:hint="eastAsia" w:ascii="仿宋_GB2312" w:hAnsi="仿宋_GB2312" w:eastAsia="仿宋_GB2312" w:cs="仿宋_GB2312"/>
          <w:b/>
          <w:bCs/>
          <w:kern w:val="0"/>
          <w:szCs w:val="21"/>
        </w:rPr>
      </w:pPr>
      <w:r>
        <w:rPr>
          <w:rFonts w:hint="eastAsia" w:ascii="仿宋_GB2312" w:hAnsi="仿宋_GB2312" w:eastAsia="仿宋_GB2312" w:cs="仿宋_GB2312"/>
          <w:kern w:val="0"/>
          <w:szCs w:val="21"/>
        </w:rPr>
        <w:t xml:space="preserve"> </w:t>
      </w:r>
    </w:p>
    <w:p>
      <w:pPr>
        <w:adjustRightInd w:val="0"/>
        <w:snapToGrid w:val="0"/>
        <w:spacing w:line="360" w:lineRule="auto"/>
        <w:ind w:firstLine="420" w:firstLineChars="200"/>
        <w:rPr>
          <w:rFonts w:hint="eastAsia" w:ascii="仿宋_GB2312" w:hAnsi="仿宋_GB2312" w:eastAsia="仿宋_GB2312" w:cs="仿宋_GB2312"/>
          <w:szCs w:val="21"/>
        </w:rPr>
      </w:pPr>
      <w:bookmarkStart w:id="2" w:name="_Toc28359002"/>
      <w:bookmarkStart w:id="3" w:name="_Toc28359079"/>
      <w:bookmarkStart w:id="4" w:name="_Toc35393790"/>
      <w:bookmarkStart w:id="5" w:name="_Toc35393621"/>
      <w:bookmarkStart w:id="6" w:name="_Hlk24379207"/>
      <w:r>
        <w:rPr>
          <w:rFonts w:hint="eastAsia" w:ascii="仿宋_GB2312" w:hAnsi="仿宋_GB2312" w:eastAsia="仿宋_GB2312" w:cs="仿宋_GB2312"/>
          <w:b/>
          <w:bCs/>
          <w:szCs w:val="21"/>
        </w:rPr>
        <w:t>一、</w:t>
      </w:r>
      <w:r>
        <w:rPr>
          <w:rFonts w:hint="eastAsia" w:ascii="仿宋_GB2312" w:hAnsi="仿宋_GB2312" w:eastAsia="仿宋_GB2312" w:cs="仿宋_GB2312"/>
          <w:szCs w:val="21"/>
        </w:rPr>
        <w:t>项目基本情况</w:t>
      </w:r>
      <w:bookmarkEnd w:id="2"/>
      <w:bookmarkEnd w:id="3"/>
      <w:bookmarkEnd w:id="4"/>
      <w:bookmarkEnd w:id="5"/>
    </w:p>
    <w:p>
      <w:pPr>
        <w:adjustRightInd w:val="0"/>
        <w:snapToGrid w:val="0"/>
        <w:spacing w:line="360" w:lineRule="auto"/>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项目编号：KZZFCG-20</w:t>
      </w:r>
      <w:r>
        <w:rPr>
          <w:rFonts w:hint="eastAsia" w:ascii="仿宋_GB2312" w:hAnsi="仿宋_GB2312" w:eastAsia="仿宋_GB2312" w:cs="仿宋_GB2312"/>
          <w:szCs w:val="21"/>
          <w:lang w:val="en-US" w:eastAsia="zh-CN"/>
        </w:rPr>
        <w:t>22</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090</w:t>
      </w:r>
    </w:p>
    <w:p>
      <w:pP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项目名称：</w:t>
      </w:r>
      <w:r>
        <w:rPr>
          <w:rFonts w:hint="eastAsia" w:ascii="仿宋_GB2312" w:hAnsi="仿宋_GB2312" w:eastAsia="仿宋_GB2312" w:cs="仿宋_GB2312"/>
          <w:szCs w:val="21"/>
          <w:lang w:eastAsia="zh-CN"/>
        </w:rPr>
        <w:t>喀左县教育局营养改善计划米、油采购项目</w:t>
      </w:r>
    </w:p>
    <w:bookmarkEnd w:id="6"/>
    <w:p>
      <w:pPr>
        <w:adjustRightInd w:val="0"/>
        <w:snapToGrid w:val="0"/>
        <w:spacing w:line="360" w:lineRule="auto"/>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预算金额</w:t>
      </w:r>
      <w:r>
        <w:rPr>
          <w:rFonts w:hint="eastAsia" w:ascii="仿宋_GB2312" w:hAnsi="仿宋_GB2312" w:eastAsia="仿宋_GB2312" w:cs="仿宋_GB2312"/>
          <w:szCs w:val="21"/>
          <w:lang w:val="en-US" w:eastAsia="zh-CN"/>
        </w:rPr>
        <w:t>：6056000元，其中大米预算约：4628000元；大豆油预算约：1428000元；</w:t>
      </w:r>
    </w:p>
    <w:p>
      <w:pP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最高限价：</w:t>
      </w:r>
      <w:r>
        <w:rPr>
          <w:rFonts w:hint="eastAsia" w:ascii="仿宋_GB2312" w:hAnsi="仿宋_GB2312" w:eastAsia="仿宋_GB2312" w:cs="仿宋_GB2312"/>
          <w:szCs w:val="21"/>
          <w:lang w:val="en-US" w:eastAsia="zh-CN"/>
        </w:rPr>
        <w:t>大米单价：2.6</w:t>
      </w:r>
      <w:r>
        <w:rPr>
          <w:rFonts w:hint="eastAsia" w:ascii="仿宋_GB2312" w:hAnsi="仿宋_GB2312" w:eastAsia="仿宋_GB2312" w:cs="仿宋_GB2312"/>
          <w:szCs w:val="21"/>
        </w:rPr>
        <w:t>元/斤</w:t>
      </w:r>
      <w:r>
        <w:rPr>
          <w:rFonts w:hint="eastAsia" w:ascii="仿宋_GB2312" w:hAnsi="仿宋_GB2312" w:eastAsia="仿宋_GB2312" w:cs="仿宋_GB2312"/>
          <w:szCs w:val="21"/>
          <w:lang w:eastAsia="zh-CN"/>
        </w:rPr>
        <w:t>；大豆</w:t>
      </w:r>
      <w:r>
        <w:rPr>
          <w:rFonts w:hint="eastAsia" w:ascii="仿宋_GB2312" w:hAnsi="仿宋_GB2312" w:eastAsia="仿宋_GB2312" w:cs="仿宋_GB2312"/>
          <w:szCs w:val="21"/>
        </w:rPr>
        <w:t>油</w:t>
      </w:r>
      <w:r>
        <w:rPr>
          <w:rFonts w:hint="eastAsia" w:ascii="仿宋_GB2312" w:hAnsi="仿宋_GB2312" w:eastAsia="仿宋_GB2312" w:cs="仿宋_GB2312"/>
          <w:szCs w:val="21"/>
          <w:lang w:eastAsia="zh-CN"/>
        </w:rPr>
        <w:t>单价：</w:t>
      </w:r>
      <w:r>
        <w:rPr>
          <w:rFonts w:hint="eastAsia" w:ascii="仿宋_GB2312" w:hAnsi="仿宋_GB2312" w:eastAsia="仿宋_GB2312" w:cs="仿宋_GB2312"/>
          <w:szCs w:val="21"/>
          <w:lang w:val="en-US" w:eastAsia="zh-CN"/>
        </w:rPr>
        <w:t>14</w:t>
      </w:r>
      <w:r>
        <w:rPr>
          <w:rFonts w:hint="eastAsia" w:ascii="仿宋_GB2312" w:hAnsi="仿宋_GB2312" w:eastAsia="仿宋_GB2312" w:cs="仿宋_GB2312"/>
          <w:szCs w:val="21"/>
        </w:rPr>
        <w:t>元/</w:t>
      </w:r>
      <w:r>
        <w:rPr>
          <w:rFonts w:hint="eastAsia" w:ascii="仿宋_GB2312" w:hAnsi="仿宋_GB2312" w:eastAsia="仿宋_GB2312" w:cs="仿宋_GB2312"/>
          <w:szCs w:val="21"/>
          <w:lang w:val="en-US" w:eastAsia="zh-CN"/>
        </w:rPr>
        <w:t>L；</w:t>
      </w:r>
    </w:p>
    <w:p>
      <w:pP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采购需求：</w:t>
      </w:r>
    </w:p>
    <w:tbl>
      <w:tblPr>
        <w:tblStyle w:val="19"/>
        <w:tblW w:w="7019"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00"/>
        <w:gridCol w:w="1425"/>
        <w:gridCol w:w="4098"/>
        <w:gridCol w:w="79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tblCellSpacing w:w="0" w:type="dxa"/>
          <w:jc w:val="center"/>
        </w:trPr>
        <w:tc>
          <w:tcPr>
            <w:tcW w:w="700" w:type="dxa"/>
            <w:tcBorders>
              <w:top w:val="outset" w:color="auto" w:sz="6" w:space="0"/>
              <w:left w:val="outset" w:color="auto" w:sz="6" w:space="0"/>
              <w:bottom w:val="outset" w:color="auto" w:sz="6" w:space="0"/>
              <w:right w:val="outset" w:color="auto" w:sz="6" w:space="0"/>
            </w:tcBorders>
            <w:shd w:val="clear" w:color="auto" w:fill="E5E5FF"/>
            <w:noWrap w:val="0"/>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包号</w:t>
            </w:r>
          </w:p>
        </w:tc>
        <w:tc>
          <w:tcPr>
            <w:tcW w:w="1425" w:type="dxa"/>
            <w:tcBorders>
              <w:top w:val="outset" w:color="auto" w:sz="6" w:space="0"/>
              <w:left w:val="outset" w:color="auto" w:sz="6" w:space="0"/>
              <w:bottom w:val="outset" w:color="auto" w:sz="6" w:space="0"/>
              <w:right w:val="outset" w:color="auto" w:sz="6" w:space="0"/>
            </w:tcBorders>
            <w:shd w:val="clear" w:color="auto" w:fill="E5E5FF"/>
            <w:noWrap w:val="0"/>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包组名称</w:t>
            </w:r>
          </w:p>
        </w:tc>
        <w:tc>
          <w:tcPr>
            <w:tcW w:w="4098" w:type="dxa"/>
            <w:tcBorders>
              <w:top w:val="outset" w:color="auto" w:sz="6" w:space="0"/>
              <w:left w:val="outset" w:color="auto" w:sz="6" w:space="0"/>
              <w:bottom w:val="outset" w:color="auto" w:sz="6" w:space="0"/>
              <w:right w:val="outset" w:color="auto" w:sz="6" w:space="0"/>
            </w:tcBorders>
            <w:shd w:val="clear" w:color="auto" w:fill="E5E5FF"/>
            <w:noWrap w:val="0"/>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主要技术要求</w:t>
            </w:r>
          </w:p>
        </w:tc>
        <w:tc>
          <w:tcPr>
            <w:tcW w:w="796" w:type="dxa"/>
            <w:tcBorders>
              <w:top w:val="outset" w:color="auto" w:sz="6" w:space="0"/>
              <w:left w:val="outset" w:color="auto" w:sz="6" w:space="0"/>
              <w:bottom w:val="outset" w:color="auto" w:sz="6" w:space="0"/>
              <w:right w:val="outset" w:color="auto" w:sz="6" w:space="0"/>
            </w:tcBorders>
            <w:shd w:val="clear" w:color="auto" w:fill="E5E5FF"/>
            <w:noWrap w:val="0"/>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数量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tblCellSpacing w:w="0" w:type="dxa"/>
          <w:jc w:val="center"/>
        </w:trPr>
        <w:tc>
          <w:tcPr>
            <w:tcW w:w="700" w:type="dxa"/>
            <w:vMerge w:val="restart"/>
            <w:tcBorders>
              <w:top w:val="outset" w:color="auto" w:sz="6" w:space="0"/>
              <w:left w:val="outset" w:color="auto" w:sz="6" w:space="0"/>
              <w:right w:val="outset" w:color="auto" w:sz="6" w:space="0"/>
            </w:tcBorders>
            <w:noWrap w:val="0"/>
            <w:vAlign w:val="center"/>
          </w:tcPr>
          <w:p>
            <w:pPr>
              <w:widowControl/>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01</w:t>
            </w:r>
          </w:p>
          <w:p>
            <w:pPr>
              <w:widowControl/>
              <w:adjustRightInd w:val="0"/>
              <w:snapToGrid w:val="0"/>
              <w:jc w:val="center"/>
              <w:rPr>
                <w:rFonts w:hint="eastAsia" w:ascii="仿宋_GB2312" w:hAnsi="仿宋_GB2312" w:eastAsia="仿宋_GB2312" w:cs="仿宋_GB2312"/>
                <w:kern w:val="0"/>
                <w:szCs w:val="21"/>
                <w:lang w:val="en-US" w:eastAsia="zh-CN"/>
              </w:rPr>
            </w:pPr>
          </w:p>
        </w:tc>
        <w:tc>
          <w:tcPr>
            <w:tcW w:w="1425" w:type="dxa"/>
            <w:vMerge w:val="restart"/>
            <w:tcBorders>
              <w:top w:val="outset" w:color="auto" w:sz="6" w:space="0"/>
              <w:left w:val="outset" w:color="auto" w:sz="6" w:space="0"/>
              <w:right w:val="outset" w:color="auto" w:sz="6" w:space="0"/>
            </w:tcBorders>
            <w:noWrap w:val="0"/>
            <w:vAlign w:val="center"/>
          </w:tcPr>
          <w:p>
            <w:pPr>
              <w:widowControl/>
              <w:adjustRightInd w:val="0"/>
              <w:snapToGrid w:val="0"/>
              <w:jc w:val="center"/>
              <w:rPr>
                <w:rFonts w:hint="eastAsia" w:ascii="仿宋_GB2312" w:hAnsi="仿宋_GB2312" w:eastAsia="仿宋_GB2312" w:cs="仿宋_GB2312"/>
                <w:sz w:val="21"/>
                <w:szCs w:val="21"/>
                <w:u w:val="none"/>
                <w:lang w:eastAsia="zh-CN"/>
              </w:rPr>
            </w:pPr>
            <w:r>
              <w:rPr>
                <w:rFonts w:hint="eastAsia" w:ascii="仿宋_GB2312" w:hAnsi="仿宋_GB2312" w:eastAsia="仿宋_GB2312" w:cs="仿宋_GB2312"/>
                <w:sz w:val="21"/>
                <w:szCs w:val="21"/>
                <w:u w:val="none"/>
                <w:lang w:eastAsia="zh-CN"/>
              </w:rPr>
              <w:t>米、大豆油采购</w:t>
            </w:r>
          </w:p>
        </w:tc>
        <w:tc>
          <w:tcPr>
            <w:tcW w:w="4098" w:type="dxa"/>
            <w:tcBorders>
              <w:top w:val="outset" w:color="auto" w:sz="6" w:space="0"/>
              <w:left w:val="outset" w:color="auto" w:sz="6" w:space="0"/>
              <w:bottom w:val="outset" w:color="auto" w:sz="6" w:space="0"/>
              <w:right w:val="outset" w:color="auto" w:sz="6" w:space="0"/>
            </w:tcBorders>
            <w:noWrap w:val="0"/>
            <w:vAlign w:val="top"/>
          </w:tcPr>
          <w:p>
            <w:pPr>
              <w:widowControl/>
              <w:adjustRightInd w:val="0"/>
              <w:snapToGrid w:val="0"/>
              <w:spacing w:line="360" w:lineRule="auto"/>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优质大米（粳米）一级：1、色泽与气味要求正常。2、垩白度≤2.0%。3.黄粒米含量≤0.5%。4.不完善.....详见招标文件</w:t>
            </w:r>
          </w:p>
        </w:tc>
        <w:tc>
          <w:tcPr>
            <w:tcW w:w="796" w:type="dxa"/>
            <w:tcBorders>
              <w:top w:val="outset" w:color="auto" w:sz="6" w:space="0"/>
              <w:left w:val="outset" w:color="auto" w:sz="6" w:space="0"/>
              <w:bottom w:val="outset" w:color="auto" w:sz="6" w:space="0"/>
              <w:right w:val="outset" w:color="auto" w:sz="6" w:space="0"/>
            </w:tcBorders>
            <w:noWrap w:val="0"/>
            <w:vAlign w:val="top"/>
          </w:tcPr>
          <w:p>
            <w:pPr>
              <w:widowControl/>
              <w:adjustRightInd w:val="0"/>
              <w:snapToGrid w:val="0"/>
              <w:spacing w:line="360" w:lineRule="auto"/>
              <w:jc w:val="left"/>
              <w:rPr>
                <w:rFonts w:hint="default" w:ascii="仿宋" w:hAnsi="仿宋" w:eastAsia="仿宋" w:cs="仿宋"/>
                <w:sz w:val="21"/>
                <w:szCs w:val="21"/>
                <w:lang w:val="en-US" w:eastAsia="zh-CN"/>
              </w:rPr>
            </w:pPr>
            <w:r>
              <w:rPr>
                <w:rFonts w:hint="eastAsia" w:ascii="仿宋" w:hAnsi="仿宋" w:eastAsia="仿宋" w:cs="仿宋"/>
                <w:sz w:val="21"/>
                <w:szCs w:val="21"/>
                <w:lang w:eastAsia="zh-CN"/>
              </w:rPr>
              <w:t>以实际采购量为准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tblCellSpacing w:w="0" w:type="dxa"/>
          <w:jc w:val="center"/>
        </w:trPr>
        <w:tc>
          <w:tcPr>
            <w:tcW w:w="700" w:type="dxa"/>
            <w:vMerge w:val="continue"/>
            <w:tcBorders>
              <w:left w:val="outset" w:color="auto" w:sz="6" w:space="0"/>
              <w:bottom w:val="outset" w:color="auto" w:sz="6" w:space="0"/>
              <w:right w:val="outset" w:color="auto" w:sz="6" w:space="0"/>
            </w:tcBorders>
            <w:noWrap w:val="0"/>
            <w:vAlign w:val="center"/>
          </w:tcPr>
          <w:p>
            <w:pPr>
              <w:widowControl/>
              <w:adjustRightInd w:val="0"/>
              <w:snapToGrid w:val="0"/>
              <w:jc w:val="center"/>
              <w:rPr>
                <w:rFonts w:hint="eastAsia" w:ascii="仿宋_GB2312" w:hAnsi="仿宋_GB2312" w:eastAsia="仿宋_GB2312" w:cs="仿宋_GB2312"/>
                <w:kern w:val="0"/>
                <w:szCs w:val="21"/>
                <w:lang w:val="en-US" w:eastAsia="zh-CN"/>
              </w:rPr>
            </w:pPr>
          </w:p>
        </w:tc>
        <w:tc>
          <w:tcPr>
            <w:tcW w:w="1425" w:type="dxa"/>
            <w:vMerge w:val="continue"/>
            <w:tcBorders>
              <w:left w:val="outset" w:color="auto" w:sz="6" w:space="0"/>
              <w:bottom w:val="outset" w:color="auto" w:sz="6" w:space="0"/>
              <w:right w:val="outset" w:color="auto" w:sz="6" w:space="0"/>
            </w:tcBorders>
            <w:noWrap w:val="0"/>
            <w:vAlign w:val="center"/>
          </w:tcPr>
          <w:p>
            <w:pPr>
              <w:widowControl/>
              <w:adjustRightInd w:val="0"/>
              <w:snapToGrid w:val="0"/>
              <w:jc w:val="center"/>
              <w:rPr>
                <w:rFonts w:hint="eastAsia" w:ascii="仿宋_GB2312" w:hAnsi="仿宋_GB2312" w:eastAsia="仿宋_GB2312" w:cs="仿宋_GB2312"/>
                <w:sz w:val="21"/>
                <w:szCs w:val="21"/>
                <w:u w:val="none"/>
                <w:lang w:eastAsia="zh-CN"/>
              </w:rPr>
            </w:pPr>
          </w:p>
        </w:tc>
        <w:tc>
          <w:tcPr>
            <w:tcW w:w="4098" w:type="dxa"/>
            <w:tcBorders>
              <w:top w:val="outset" w:color="auto" w:sz="6" w:space="0"/>
              <w:left w:val="outset" w:color="auto" w:sz="6" w:space="0"/>
              <w:bottom w:val="outset" w:color="auto" w:sz="6" w:space="0"/>
              <w:right w:val="outset" w:color="auto" w:sz="6" w:space="0"/>
            </w:tcBorders>
            <w:noWrap w:val="0"/>
            <w:vAlign w:val="top"/>
          </w:tcPr>
          <w:p>
            <w:pPr>
              <w:widowControl/>
              <w:adjustRightInd w:val="0"/>
              <w:snapToGrid w:val="0"/>
              <w:spacing w:line="360" w:lineRule="auto"/>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一级成品大豆油</w:t>
            </w:r>
            <w:r>
              <w:rPr>
                <w:rFonts w:hint="eastAsia" w:ascii="仿宋" w:hAnsi="仿宋" w:cs="仿宋"/>
                <w:sz w:val="21"/>
                <w:szCs w:val="21"/>
                <w:lang w:val="en-US" w:eastAsia="zh-CN"/>
              </w:rPr>
              <w:t>:</w:t>
            </w:r>
            <w:r>
              <w:rPr>
                <w:rFonts w:hint="eastAsia" w:ascii="仿宋" w:hAnsi="仿宋" w:eastAsia="仿宋" w:cs="仿宋"/>
                <w:sz w:val="21"/>
                <w:szCs w:val="21"/>
                <w:lang w:val="en-US" w:eastAsia="zh-CN"/>
              </w:rPr>
              <w:t>1.色泽：淡黄色至浅黄色。2.透明度（20℃）：澄清、透明。......详见招标文件</w:t>
            </w:r>
          </w:p>
        </w:tc>
        <w:tc>
          <w:tcPr>
            <w:tcW w:w="796" w:type="dxa"/>
            <w:tcBorders>
              <w:top w:val="outset" w:color="auto" w:sz="6" w:space="0"/>
              <w:left w:val="outset" w:color="auto" w:sz="6" w:space="0"/>
              <w:bottom w:val="outset" w:color="auto" w:sz="6" w:space="0"/>
              <w:right w:val="outset" w:color="auto" w:sz="6" w:space="0"/>
            </w:tcBorders>
            <w:noWrap w:val="0"/>
            <w:vAlign w:val="top"/>
          </w:tcPr>
          <w:p>
            <w:pPr>
              <w:widowControl/>
              <w:adjustRightInd w:val="0"/>
              <w:snapToGrid w:val="0"/>
              <w:spacing w:line="360" w:lineRule="auto"/>
              <w:jc w:val="left"/>
              <w:rPr>
                <w:rFonts w:hint="eastAsia" w:ascii="仿宋" w:hAnsi="仿宋" w:eastAsia="仿宋" w:cs="仿宋"/>
                <w:sz w:val="21"/>
                <w:szCs w:val="21"/>
                <w:lang w:eastAsia="zh-CN"/>
              </w:rPr>
            </w:pPr>
            <w:r>
              <w:rPr>
                <w:rFonts w:hint="eastAsia" w:ascii="仿宋" w:hAnsi="仿宋" w:eastAsia="仿宋" w:cs="仿宋"/>
                <w:sz w:val="21"/>
                <w:szCs w:val="21"/>
                <w:lang w:eastAsia="zh-CN"/>
              </w:rPr>
              <w:t>以实际采购量为准</w:t>
            </w:r>
          </w:p>
        </w:tc>
      </w:tr>
    </w:tbl>
    <w:p>
      <w:pPr>
        <w:adjustRightInd w:val="0"/>
        <w:snapToGrid w:val="0"/>
        <w:spacing w:line="360" w:lineRule="auto"/>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合同履行期限：</w:t>
      </w:r>
      <w:r>
        <w:rPr>
          <w:rFonts w:hint="eastAsia" w:ascii="仿宋_GB2312" w:hAnsi="仿宋_GB2312" w:eastAsia="仿宋_GB2312" w:cs="仿宋_GB2312"/>
          <w:szCs w:val="21"/>
          <w:lang w:val="en-US" w:eastAsia="zh-CN"/>
        </w:rPr>
        <w:t>1年</w:t>
      </w:r>
    </w:p>
    <w:p>
      <w:pP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需落实的政府采购政策内容：落实政策为促进中小企业、促进残疾人就业、支持监狱企业等相关政策等。</w:t>
      </w:r>
    </w:p>
    <w:p>
      <w:pP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本项目</w:t>
      </w:r>
      <w:r>
        <w:rPr>
          <w:rFonts w:hint="eastAsia" w:ascii="仿宋_GB2312" w:hAnsi="仿宋_GB2312" w:eastAsia="仿宋_GB2312" w:cs="仿宋_GB2312"/>
          <w:szCs w:val="21"/>
          <w:lang w:eastAsia="zh-CN"/>
        </w:rPr>
        <w:t>不</w:t>
      </w:r>
      <w:r>
        <w:rPr>
          <w:rFonts w:hint="eastAsia" w:ascii="仿宋_GB2312" w:hAnsi="仿宋_GB2312" w:eastAsia="仿宋_GB2312" w:cs="仿宋_GB2312"/>
          <w:szCs w:val="21"/>
        </w:rPr>
        <w:t>接受联合体投标。</w:t>
      </w:r>
    </w:p>
    <w:p>
      <w:pPr>
        <w:adjustRightInd w:val="0"/>
        <w:snapToGrid w:val="0"/>
        <w:spacing w:line="360" w:lineRule="auto"/>
        <w:rPr>
          <w:rFonts w:hint="eastAsia" w:ascii="仿宋_GB2312" w:hAnsi="仿宋_GB2312" w:eastAsia="仿宋_GB2312" w:cs="仿宋_GB2312"/>
          <w:b/>
          <w:bCs/>
          <w:szCs w:val="21"/>
        </w:rPr>
      </w:pPr>
      <w:bookmarkStart w:id="7" w:name="_Toc35393622"/>
      <w:bookmarkStart w:id="8" w:name="_Toc35393791"/>
      <w:bookmarkStart w:id="9" w:name="_Toc28359080"/>
      <w:bookmarkStart w:id="10" w:name="_Toc28359003"/>
      <w:r>
        <w:rPr>
          <w:rFonts w:hint="eastAsia" w:ascii="仿宋_GB2312" w:hAnsi="仿宋_GB2312" w:eastAsia="仿宋_GB2312" w:cs="仿宋_GB2312"/>
          <w:b/>
          <w:bCs/>
          <w:szCs w:val="21"/>
        </w:rPr>
        <w:t>二、供应商的资格要求：</w:t>
      </w:r>
      <w:bookmarkEnd w:id="7"/>
      <w:bookmarkEnd w:id="8"/>
      <w:bookmarkEnd w:id="9"/>
      <w:bookmarkEnd w:id="10"/>
    </w:p>
    <w:p>
      <w:pP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1.满足《中华人民共和国政府采购法》第二十二条规定；</w:t>
      </w:r>
    </w:p>
    <w:p>
      <w:pPr>
        <w:adjustRightInd w:val="0"/>
        <w:snapToGrid w:val="0"/>
        <w:spacing w:line="360" w:lineRule="auto"/>
        <w:ind w:firstLine="420" w:firstLineChars="200"/>
        <w:rPr>
          <w:rFonts w:hint="eastAsia" w:ascii="仿宋_GB2312" w:hAnsi="仿宋_GB2312" w:eastAsia="仿宋_GB2312" w:cs="仿宋_GB2312"/>
          <w:szCs w:val="21"/>
        </w:rPr>
      </w:pPr>
      <w:bookmarkStart w:id="11" w:name="_Toc28359081"/>
      <w:bookmarkStart w:id="12" w:name="_Toc28359004"/>
      <w:r>
        <w:rPr>
          <w:rFonts w:hint="eastAsia" w:ascii="仿宋_GB2312" w:hAnsi="仿宋_GB2312" w:eastAsia="仿宋_GB2312" w:cs="仿宋_GB2312"/>
          <w:szCs w:val="21"/>
        </w:rPr>
        <w:t>2.落实政府采购政策需满足的资格要求：</w:t>
      </w:r>
    </w:p>
    <w:p>
      <w:pPr>
        <w:adjustRightInd w:val="0"/>
        <w:snapToGrid w:val="0"/>
        <w:spacing w:line="360" w:lineRule="auto"/>
        <w:ind w:firstLine="420" w:firstLineChars="200"/>
        <w:rPr>
          <w:rFonts w:hint="eastAsia" w:ascii="仿宋_GB2312" w:hAnsi="仿宋_GB2312" w:eastAsia="仿宋_GB2312" w:cs="仿宋_GB2312"/>
          <w:i/>
          <w:iCs/>
          <w:szCs w:val="21"/>
          <w:u w:val="single"/>
        </w:rPr>
      </w:pPr>
      <w:r>
        <w:rPr>
          <w:rFonts w:hint="eastAsia" w:ascii="仿宋_GB2312" w:hAnsi="仿宋_GB2312" w:eastAsia="仿宋_GB2312" w:cs="仿宋_GB2312"/>
          <w:szCs w:val="21"/>
        </w:rPr>
        <w:t>3.本项目的特定资格要求：</w:t>
      </w:r>
      <w:r>
        <w:rPr>
          <w:rFonts w:hint="eastAsia" w:ascii="仿宋_GB2312" w:hAnsi="仿宋_GB2312" w:eastAsia="仿宋_GB2312" w:cs="仿宋_GB2312"/>
          <w:kern w:val="0"/>
          <w:szCs w:val="21"/>
          <w:lang w:val="en-US" w:eastAsia="zh-CN"/>
        </w:rPr>
        <w:t>投标人为生产商的必须提供食品生产许可证、品种明细表、食品经营许可证；投标人为代理商或经销商的必须提供是食品经营许可证和所投产品生产商的食品生产许可证、品种明细表复印件；</w:t>
      </w:r>
    </w:p>
    <w:p>
      <w:pPr>
        <w:adjustRightInd w:val="0"/>
        <w:snapToGrid w:val="0"/>
        <w:spacing w:line="360" w:lineRule="auto"/>
        <w:rPr>
          <w:rFonts w:hint="eastAsia" w:ascii="仿宋_GB2312" w:hAnsi="仿宋_GB2312" w:eastAsia="仿宋_GB2312" w:cs="仿宋_GB2312"/>
          <w:b/>
          <w:bCs/>
          <w:szCs w:val="21"/>
        </w:rPr>
      </w:pPr>
      <w:r>
        <w:rPr>
          <w:rFonts w:hint="eastAsia" w:ascii="仿宋_GB2312" w:hAnsi="仿宋_GB2312" w:eastAsia="仿宋_GB2312" w:cs="仿宋_GB2312"/>
          <w:b/>
          <w:bCs/>
          <w:szCs w:val="21"/>
        </w:rPr>
        <w:t>三、政府采购供应商入库须知</w:t>
      </w:r>
    </w:p>
    <w:p>
      <w:pPr>
        <w:adjustRightInd w:val="0"/>
        <w:snapToGrid w:val="0"/>
        <w:spacing w:line="360" w:lineRule="auto"/>
        <w:ind w:firstLine="420" w:firstLineChars="200"/>
        <w:rPr>
          <w:rFonts w:hint="eastAsia" w:ascii="仿宋_GB2312" w:hAnsi="仿宋_GB2312" w:eastAsia="仿宋_GB2312" w:cs="仿宋_GB2312"/>
          <w:szCs w:val="21"/>
        </w:rPr>
      </w:pPr>
      <w:bookmarkStart w:id="13" w:name="_Toc35393623"/>
      <w:bookmarkStart w:id="14" w:name="_Toc35393792"/>
      <w:r>
        <w:rPr>
          <w:rFonts w:hint="eastAsia" w:ascii="仿宋_GB2312" w:hAnsi="仿宋_GB2312" w:eastAsia="仿宋_GB2312" w:cs="仿宋_GB2312"/>
          <w:szCs w:val="21"/>
        </w:rPr>
        <w:t>参加辽宁省政府采购活动的供应商未进入辽宁省政府采购供应商库的，请详阅辽宁政府采购网 “首页—政策法规”中公布的“政府采购供应商入库”的相关规定，及时办理入库登记手续。填写单位名称、统一社会信用代码和联系人等简要信息，由系统自动开通账号后，即可参与政府采购活动。具体规定详见《关于进一步优化辽宁省政府采购供应商入库程序的通知》（辽财采函〔2020〕198号）。</w:t>
      </w:r>
    </w:p>
    <w:p>
      <w:pPr>
        <w:adjustRightInd w:val="0"/>
        <w:snapToGrid w:val="0"/>
        <w:spacing w:line="360" w:lineRule="auto"/>
        <w:rPr>
          <w:rFonts w:hint="eastAsia" w:ascii="仿宋_GB2312" w:hAnsi="仿宋_GB2312" w:eastAsia="仿宋_GB2312" w:cs="仿宋_GB2312"/>
          <w:b/>
          <w:bCs/>
          <w:szCs w:val="21"/>
        </w:rPr>
      </w:pPr>
      <w:r>
        <w:rPr>
          <w:rFonts w:hint="eastAsia" w:ascii="仿宋_GB2312" w:hAnsi="仿宋_GB2312" w:eastAsia="仿宋_GB2312" w:cs="仿宋_GB2312"/>
          <w:b/>
          <w:bCs/>
          <w:szCs w:val="21"/>
        </w:rPr>
        <w:t>四、获取招标文件</w:t>
      </w:r>
      <w:bookmarkEnd w:id="11"/>
      <w:bookmarkEnd w:id="12"/>
      <w:bookmarkEnd w:id="13"/>
      <w:bookmarkEnd w:id="14"/>
    </w:p>
    <w:p>
      <w:pPr>
        <w:adjustRightInd w:val="0"/>
        <w:snapToGrid w:val="0"/>
        <w:spacing w:line="360" w:lineRule="auto"/>
        <w:ind w:firstLine="540"/>
        <w:rPr>
          <w:rFonts w:hint="eastAsia" w:ascii="仿宋_GB2312" w:hAnsi="仿宋_GB2312" w:eastAsia="仿宋_GB2312" w:cs="仿宋_GB2312"/>
          <w:szCs w:val="21"/>
          <w:u w:val="none"/>
        </w:rPr>
      </w:pPr>
      <w:r>
        <w:rPr>
          <w:rFonts w:hint="eastAsia" w:ascii="仿宋_GB2312" w:hAnsi="仿宋_GB2312" w:eastAsia="仿宋_GB2312" w:cs="仿宋_GB2312"/>
          <w:szCs w:val="21"/>
        </w:rPr>
        <w:t>时间：</w:t>
      </w:r>
      <w:r>
        <w:rPr>
          <w:rFonts w:hint="eastAsia" w:ascii="仿宋_GB2312" w:hAnsi="仿宋_GB2312" w:eastAsia="仿宋_GB2312" w:cs="仿宋_GB2312"/>
          <w:szCs w:val="21"/>
          <w:u w:val="none"/>
          <w:lang w:val="en-US" w:eastAsia="zh-CN"/>
        </w:rPr>
        <w:t>2022</w:t>
      </w:r>
      <w:r>
        <w:rPr>
          <w:rFonts w:hint="eastAsia" w:ascii="仿宋_GB2312" w:hAnsi="仿宋_GB2312" w:eastAsia="仿宋_GB2312" w:cs="仿宋_GB2312"/>
          <w:szCs w:val="21"/>
          <w:u w:val="none"/>
        </w:rPr>
        <w:t>年</w:t>
      </w:r>
      <w:r>
        <w:rPr>
          <w:rFonts w:hint="eastAsia" w:ascii="仿宋_GB2312" w:hAnsi="仿宋_GB2312" w:eastAsia="仿宋_GB2312" w:cs="仿宋_GB2312"/>
          <w:szCs w:val="21"/>
          <w:u w:val="none"/>
          <w:lang w:val="en-US" w:eastAsia="zh-CN"/>
        </w:rPr>
        <w:t>7</w:t>
      </w:r>
      <w:r>
        <w:rPr>
          <w:rFonts w:hint="eastAsia" w:ascii="仿宋_GB2312" w:hAnsi="仿宋_GB2312" w:eastAsia="仿宋_GB2312" w:cs="仿宋_GB2312"/>
          <w:szCs w:val="21"/>
          <w:u w:val="none"/>
        </w:rPr>
        <w:t>月</w:t>
      </w:r>
      <w:r>
        <w:rPr>
          <w:rFonts w:hint="eastAsia" w:ascii="仿宋_GB2312" w:hAnsi="仿宋_GB2312" w:eastAsia="仿宋_GB2312" w:cs="仿宋_GB2312"/>
          <w:szCs w:val="21"/>
          <w:u w:val="none"/>
          <w:lang w:val="en-US" w:eastAsia="zh-CN"/>
        </w:rPr>
        <w:t>19</w:t>
      </w:r>
      <w:r>
        <w:rPr>
          <w:rFonts w:hint="eastAsia" w:ascii="仿宋_GB2312" w:hAnsi="仿宋_GB2312" w:eastAsia="仿宋_GB2312" w:cs="仿宋_GB2312"/>
          <w:szCs w:val="21"/>
          <w:u w:val="none"/>
        </w:rPr>
        <w:t>日</w:t>
      </w:r>
      <w:r>
        <w:rPr>
          <w:rFonts w:hint="eastAsia" w:ascii="仿宋_GB2312" w:hAnsi="仿宋_GB2312" w:eastAsia="仿宋_GB2312" w:cs="仿宋_GB2312"/>
          <w:szCs w:val="21"/>
        </w:rPr>
        <w:t>至</w:t>
      </w:r>
      <w:r>
        <w:rPr>
          <w:rFonts w:hint="eastAsia" w:ascii="仿宋_GB2312" w:hAnsi="仿宋_GB2312" w:eastAsia="仿宋_GB2312" w:cs="仿宋_GB2312"/>
          <w:szCs w:val="21"/>
          <w:u w:val="none"/>
          <w:lang w:val="en-US" w:eastAsia="zh-CN"/>
        </w:rPr>
        <w:t>2022</w:t>
      </w:r>
      <w:r>
        <w:rPr>
          <w:rFonts w:hint="eastAsia" w:ascii="仿宋_GB2312" w:hAnsi="仿宋_GB2312" w:eastAsia="仿宋_GB2312" w:cs="仿宋_GB2312"/>
          <w:szCs w:val="21"/>
          <w:u w:val="none"/>
        </w:rPr>
        <w:t>年</w:t>
      </w:r>
      <w:r>
        <w:rPr>
          <w:rFonts w:hint="eastAsia" w:ascii="仿宋_GB2312" w:hAnsi="仿宋_GB2312" w:eastAsia="仿宋_GB2312" w:cs="仿宋_GB2312"/>
          <w:szCs w:val="21"/>
          <w:u w:val="none"/>
          <w:lang w:val="en-US" w:eastAsia="zh-CN"/>
        </w:rPr>
        <w:t>7</w:t>
      </w:r>
      <w:r>
        <w:rPr>
          <w:rFonts w:hint="eastAsia" w:ascii="仿宋_GB2312" w:hAnsi="仿宋_GB2312" w:eastAsia="仿宋_GB2312" w:cs="仿宋_GB2312"/>
          <w:szCs w:val="21"/>
          <w:u w:val="none"/>
        </w:rPr>
        <w:t>月</w:t>
      </w:r>
      <w:r>
        <w:rPr>
          <w:rFonts w:hint="eastAsia" w:ascii="仿宋_GB2312" w:hAnsi="仿宋_GB2312" w:eastAsia="仿宋_GB2312" w:cs="仿宋_GB2312"/>
          <w:szCs w:val="21"/>
          <w:u w:val="none"/>
          <w:lang w:val="en-US" w:eastAsia="zh-CN"/>
        </w:rPr>
        <w:t>25</w:t>
      </w:r>
      <w:r>
        <w:rPr>
          <w:rFonts w:hint="eastAsia" w:ascii="仿宋_GB2312" w:hAnsi="仿宋_GB2312" w:eastAsia="仿宋_GB2312" w:cs="仿宋_GB2312"/>
          <w:szCs w:val="21"/>
          <w:u w:val="none"/>
        </w:rPr>
        <w:t>日</w:t>
      </w:r>
      <w:r>
        <w:rPr>
          <w:rFonts w:hint="eastAsia" w:ascii="仿宋_GB2312" w:hAnsi="仿宋_GB2312" w:eastAsia="仿宋_GB2312" w:cs="仿宋_GB2312"/>
          <w:szCs w:val="21"/>
        </w:rPr>
        <w:t>，</w:t>
      </w:r>
      <w:r>
        <w:rPr>
          <w:rFonts w:hint="eastAsia" w:ascii="仿宋_GB2312" w:hAnsi="仿宋_GB2312" w:eastAsia="仿宋_GB2312" w:cs="仿宋_GB2312"/>
          <w:szCs w:val="21"/>
          <w:u w:val="none"/>
        </w:rPr>
        <w:t>每天上午</w:t>
      </w:r>
      <w:r>
        <w:rPr>
          <w:rFonts w:hint="eastAsia" w:ascii="仿宋_GB2312" w:hAnsi="仿宋_GB2312" w:eastAsia="仿宋_GB2312" w:cs="仿宋_GB2312"/>
          <w:szCs w:val="21"/>
          <w:u w:val="none"/>
          <w:lang w:val="en-US" w:eastAsia="zh-CN"/>
        </w:rPr>
        <w:t>8:30</w:t>
      </w:r>
      <w:r>
        <w:rPr>
          <w:rFonts w:hint="eastAsia" w:ascii="仿宋_GB2312" w:hAnsi="仿宋_GB2312" w:eastAsia="仿宋_GB2312" w:cs="仿宋_GB2312"/>
          <w:szCs w:val="21"/>
          <w:u w:val="none"/>
        </w:rPr>
        <w:t>至</w:t>
      </w:r>
      <w:r>
        <w:rPr>
          <w:rFonts w:hint="eastAsia" w:ascii="仿宋_GB2312" w:hAnsi="仿宋_GB2312" w:eastAsia="仿宋_GB2312" w:cs="仿宋_GB2312"/>
          <w:szCs w:val="21"/>
          <w:u w:val="none"/>
          <w:lang w:val="en-US" w:eastAsia="zh-CN"/>
        </w:rPr>
        <w:t>11:30</w:t>
      </w:r>
      <w:r>
        <w:rPr>
          <w:rFonts w:hint="eastAsia" w:ascii="仿宋_GB2312" w:hAnsi="仿宋_GB2312" w:eastAsia="仿宋_GB2312" w:cs="仿宋_GB2312"/>
          <w:szCs w:val="21"/>
          <w:u w:val="none"/>
        </w:rPr>
        <w:t>，下午</w:t>
      </w:r>
      <w:r>
        <w:rPr>
          <w:rFonts w:hint="eastAsia" w:ascii="仿宋_GB2312" w:hAnsi="仿宋_GB2312" w:eastAsia="仿宋_GB2312" w:cs="仿宋_GB2312"/>
          <w:szCs w:val="21"/>
          <w:u w:val="none"/>
          <w:lang w:val="en-US" w:eastAsia="zh-CN"/>
        </w:rPr>
        <w:t>1:30</w:t>
      </w:r>
      <w:r>
        <w:rPr>
          <w:rFonts w:hint="eastAsia" w:ascii="仿宋_GB2312" w:hAnsi="仿宋_GB2312" w:eastAsia="仿宋_GB2312" w:cs="仿宋_GB2312"/>
          <w:szCs w:val="21"/>
          <w:u w:val="none"/>
        </w:rPr>
        <w:t>　至　</w:t>
      </w:r>
      <w:r>
        <w:rPr>
          <w:rFonts w:hint="eastAsia" w:ascii="仿宋_GB2312" w:hAnsi="仿宋_GB2312" w:eastAsia="仿宋_GB2312" w:cs="仿宋_GB2312"/>
          <w:szCs w:val="21"/>
          <w:u w:val="none"/>
          <w:lang w:val="en-US" w:eastAsia="zh-CN"/>
        </w:rPr>
        <w:t>16:00</w:t>
      </w:r>
      <w:r>
        <w:rPr>
          <w:rFonts w:hint="eastAsia" w:ascii="仿宋_GB2312" w:hAnsi="仿宋_GB2312" w:eastAsia="仿宋_GB2312" w:cs="仿宋_GB2312"/>
          <w:szCs w:val="21"/>
          <w:u w:val="none"/>
        </w:rPr>
        <w:t>（北京时间，法定节假日除外 ）</w:t>
      </w:r>
    </w:p>
    <w:p>
      <w:pPr>
        <w:adjustRightInd w:val="0"/>
        <w:snapToGrid w:val="0"/>
        <w:spacing w:line="360" w:lineRule="auto"/>
        <w:ind w:firstLine="420" w:firstLineChars="200"/>
        <w:rPr>
          <w:rFonts w:hint="eastAsia" w:ascii="仿宋_GB2312" w:hAnsi="仿宋_GB2312" w:eastAsia="仿宋_GB2312" w:cs="仿宋_GB2312"/>
          <w:szCs w:val="21"/>
        </w:rPr>
      </w:pPr>
      <w:bookmarkStart w:id="15" w:name="_Toc28359082"/>
      <w:bookmarkStart w:id="16" w:name="_Toc28359005"/>
      <w:bookmarkStart w:id="17" w:name="_Toc35393793"/>
      <w:bookmarkStart w:id="18" w:name="_Toc35393624"/>
      <w:r>
        <w:rPr>
          <w:rFonts w:hint="eastAsia" w:ascii="仿宋_GB2312" w:hAnsi="仿宋_GB2312" w:eastAsia="仿宋_GB2312" w:cs="仿宋_GB2312"/>
          <w:szCs w:val="21"/>
          <w:lang w:val="en-US" w:eastAsia="zh-CN"/>
        </w:rPr>
        <w:t>地点：朝阳市公共资源交易中心喀左分中心</w:t>
      </w:r>
    </w:p>
    <w:p>
      <w:pP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方式：通过电子邮</w:t>
      </w:r>
      <w:bookmarkStart w:id="228" w:name="_GoBack"/>
      <w:bookmarkEnd w:id="228"/>
      <w:r>
        <w:rPr>
          <w:rFonts w:hint="eastAsia" w:ascii="仿宋_GB2312" w:hAnsi="仿宋_GB2312" w:eastAsia="仿宋_GB2312" w:cs="仿宋_GB2312"/>
          <w:szCs w:val="21"/>
          <w:lang w:val="en-US" w:eastAsia="zh-CN"/>
        </w:rPr>
        <w:t>件发送</w:t>
      </w:r>
    </w:p>
    <w:p>
      <w:pPr>
        <w:adjustRightInd w:val="0"/>
        <w:snapToGrid w:val="0"/>
        <w:spacing w:line="360" w:lineRule="auto"/>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售价：免费</w:t>
      </w:r>
    </w:p>
    <w:p>
      <w:pPr>
        <w:adjustRightInd w:val="0"/>
        <w:snapToGrid w:val="0"/>
        <w:spacing w:line="360" w:lineRule="auto"/>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获取文件咨询电话：0421-4885008</w:t>
      </w:r>
    </w:p>
    <w:p>
      <w:pPr>
        <w:adjustRightInd w:val="0"/>
        <w:snapToGrid w:val="0"/>
        <w:spacing w:line="360" w:lineRule="auto"/>
        <w:rPr>
          <w:rFonts w:hint="eastAsia" w:ascii="仿宋_GB2312" w:hAnsi="仿宋_GB2312" w:eastAsia="仿宋_GB2312" w:cs="仿宋_GB2312"/>
          <w:b/>
          <w:bCs/>
          <w:szCs w:val="21"/>
        </w:rPr>
      </w:pPr>
      <w:r>
        <w:rPr>
          <w:rFonts w:hint="eastAsia" w:ascii="仿宋_GB2312" w:hAnsi="仿宋_GB2312" w:eastAsia="仿宋_GB2312" w:cs="仿宋_GB2312"/>
          <w:b/>
          <w:bCs/>
          <w:szCs w:val="21"/>
        </w:rPr>
        <w:t>五、提交投标文件</w:t>
      </w:r>
      <w:bookmarkEnd w:id="15"/>
      <w:bookmarkEnd w:id="16"/>
      <w:r>
        <w:rPr>
          <w:rFonts w:hint="eastAsia" w:ascii="仿宋_GB2312" w:hAnsi="仿宋_GB2312" w:eastAsia="仿宋_GB2312" w:cs="仿宋_GB2312"/>
          <w:b/>
          <w:bCs/>
          <w:szCs w:val="21"/>
        </w:rPr>
        <w:t>截止时间、开标时间和地点</w:t>
      </w:r>
      <w:bookmarkEnd w:id="17"/>
      <w:bookmarkEnd w:id="18"/>
    </w:p>
    <w:p>
      <w:pPr>
        <w:adjustRightInd w:val="0"/>
        <w:snapToGrid w:val="0"/>
        <w:spacing w:line="360" w:lineRule="auto"/>
        <w:ind w:firstLine="420" w:firstLineChars="200"/>
        <w:rPr>
          <w:rFonts w:hint="eastAsia" w:ascii="仿宋_GB2312" w:hAnsi="仿宋_GB2312" w:eastAsia="仿宋_GB2312" w:cs="仿宋_GB2312"/>
          <w:bCs/>
          <w:szCs w:val="21"/>
        </w:rPr>
      </w:pPr>
      <w:bookmarkStart w:id="19" w:name="_Toc28359007"/>
      <w:bookmarkStart w:id="20" w:name="_Toc35393794"/>
      <w:bookmarkStart w:id="21" w:name="_Toc28359084"/>
      <w:bookmarkStart w:id="22" w:name="_Toc35393625"/>
      <w:r>
        <w:rPr>
          <w:rFonts w:hint="eastAsia" w:ascii="仿宋" w:hAnsi="仿宋" w:cs="仿宋_GB2312"/>
          <w:szCs w:val="21"/>
          <w:highlight w:val="none"/>
        </w:rPr>
        <w:t>截止时间：</w:t>
      </w:r>
      <w:r>
        <w:rPr>
          <w:rFonts w:hint="eastAsia" w:ascii="仿宋_GB2312" w:hAnsi="仿宋_GB2312" w:eastAsia="仿宋_GB2312" w:cs="仿宋_GB2312"/>
          <w:bCs/>
          <w:szCs w:val="21"/>
          <w:u w:val="single"/>
        </w:rPr>
        <w:t xml:space="preserve">  </w:t>
      </w:r>
      <w:r>
        <w:rPr>
          <w:rFonts w:hint="eastAsia" w:ascii="仿宋_GB2312" w:hAnsi="仿宋_GB2312" w:eastAsia="仿宋_GB2312" w:cs="仿宋_GB2312"/>
          <w:bCs/>
          <w:szCs w:val="21"/>
          <w:u w:val="single"/>
          <w:lang w:val="en-US" w:eastAsia="zh-CN"/>
        </w:rPr>
        <w:t>2022</w:t>
      </w:r>
      <w:r>
        <w:rPr>
          <w:rFonts w:hint="eastAsia" w:ascii="仿宋_GB2312" w:hAnsi="仿宋_GB2312" w:eastAsia="仿宋_GB2312" w:cs="仿宋_GB2312"/>
          <w:bCs/>
          <w:szCs w:val="21"/>
          <w:u w:val="single"/>
        </w:rPr>
        <w:t xml:space="preserve"> 年</w:t>
      </w:r>
      <w:r>
        <w:rPr>
          <w:rFonts w:hint="eastAsia" w:ascii="仿宋_GB2312" w:hAnsi="仿宋_GB2312" w:eastAsia="仿宋_GB2312" w:cs="仿宋_GB2312"/>
          <w:bCs/>
          <w:szCs w:val="21"/>
          <w:u w:val="single"/>
          <w:lang w:val="en-US" w:eastAsia="zh-CN"/>
        </w:rPr>
        <w:t>8</w:t>
      </w:r>
      <w:r>
        <w:rPr>
          <w:rFonts w:hint="eastAsia" w:ascii="仿宋_GB2312" w:hAnsi="仿宋_GB2312" w:eastAsia="仿宋_GB2312" w:cs="仿宋_GB2312"/>
          <w:bCs/>
          <w:szCs w:val="21"/>
          <w:u w:val="single"/>
        </w:rPr>
        <w:t>月</w:t>
      </w:r>
      <w:r>
        <w:rPr>
          <w:rFonts w:hint="eastAsia" w:ascii="仿宋_GB2312" w:hAnsi="仿宋_GB2312" w:eastAsia="仿宋_GB2312" w:cs="仿宋_GB2312"/>
          <w:bCs/>
          <w:szCs w:val="21"/>
          <w:u w:val="single"/>
          <w:lang w:val="en-US" w:eastAsia="zh-CN"/>
        </w:rPr>
        <w:t>9</w:t>
      </w:r>
      <w:r>
        <w:rPr>
          <w:rFonts w:hint="eastAsia" w:ascii="仿宋_GB2312" w:hAnsi="仿宋_GB2312" w:eastAsia="仿宋_GB2312" w:cs="仿宋_GB2312"/>
          <w:bCs/>
          <w:szCs w:val="21"/>
          <w:u w:val="single"/>
        </w:rPr>
        <w:t>日</w:t>
      </w:r>
      <w:r>
        <w:rPr>
          <w:rFonts w:hint="eastAsia" w:ascii="仿宋_GB2312" w:hAnsi="仿宋_GB2312" w:eastAsia="仿宋_GB2312" w:cs="仿宋_GB2312"/>
          <w:bCs/>
          <w:szCs w:val="21"/>
          <w:u w:val="single"/>
          <w:lang w:val="en-US" w:eastAsia="zh-CN"/>
        </w:rPr>
        <w:t>9</w:t>
      </w:r>
      <w:r>
        <w:rPr>
          <w:rFonts w:hint="eastAsia" w:ascii="仿宋_GB2312" w:hAnsi="仿宋_GB2312" w:eastAsia="仿宋_GB2312" w:cs="仿宋_GB2312"/>
          <w:bCs/>
          <w:szCs w:val="21"/>
          <w:u w:val="single"/>
        </w:rPr>
        <w:t xml:space="preserve"> 点 </w:t>
      </w:r>
      <w:r>
        <w:rPr>
          <w:rFonts w:hint="eastAsia" w:ascii="仿宋_GB2312" w:hAnsi="仿宋_GB2312" w:eastAsia="仿宋_GB2312" w:cs="仿宋_GB2312"/>
          <w:bCs/>
          <w:szCs w:val="21"/>
          <w:u w:val="single"/>
          <w:lang w:val="en-US" w:eastAsia="zh-CN"/>
        </w:rPr>
        <w:t>00</w:t>
      </w:r>
      <w:r>
        <w:rPr>
          <w:rFonts w:hint="eastAsia" w:ascii="仿宋_GB2312" w:hAnsi="仿宋_GB2312" w:eastAsia="仿宋_GB2312" w:cs="仿宋_GB2312"/>
          <w:bCs/>
          <w:szCs w:val="21"/>
          <w:u w:val="single"/>
        </w:rPr>
        <w:t xml:space="preserve"> 分</w:t>
      </w:r>
      <w:r>
        <w:rPr>
          <w:rFonts w:hint="eastAsia" w:ascii="仿宋_GB2312" w:hAnsi="仿宋_GB2312" w:eastAsia="仿宋_GB2312" w:cs="仿宋_GB2312"/>
          <w:bCs/>
          <w:szCs w:val="21"/>
        </w:rPr>
        <w:t>（北京时间）</w:t>
      </w:r>
    </w:p>
    <w:p>
      <w:pPr>
        <w:adjustRightInd w:val="0"/>
        <w:snapToGrid w:val="0"/>
        <w:spacing w:line="360" w:lineRule="auto"/>
        <w:ind w:firstLine="420" w:firstLineChars="200"/>
        <w:rPr>
          <w:rFonts w:hint="eastAsia" w:ascii="仿宋_GB2312" w:hAnsi="仿宋_GB2312" w:eastAsia="仿宋_GB2312" w:cs="仿宋_GB2312"/>
          <w:bCs/>
          <w:szCs w:val="21"/>
          <w:u w:val="single"/>
        </w:rPr>
      </w:pPr>
      <w:r>
        <w:rPr>
          <w:rFonts w:hint="eastAsia" w:ascii="仿宋_GB2312" w:hAnsi="仿宋_GB2312" w:eastAsia="仿宋_GB2312" w:cs="仿宋_GB2312"/>
          <w:szCs w:val="21"/>
        </w:rPr>
        <w:t>地点：</w:t>
      </w:r>
      <w:r>
        <w:rPr>
          <w:rFonts w:hint="eastAsia" w:ascii="仿宋_GB2312" w:hAnsi="仿宋_GB2312" w:eastAsia="仿宋_GB2312" w:cs="仿宋_GB2312"/>
          <w:bCs/>
          <w:szCs w:val="21"/>
          <w:u w:val="none"/>
          <w:lang w:eastAsia="zh-CN"/>
        </w:rPr>
        <w:t>朝阳市公共资源交易中心喀左分中心九楼第二开标室</w:t>
      </w:r>
    </w:p>
    <w:p>
      <w:pPr>
        <w:adjustRightInd w:val="0"/>
        <w:snapToGrid w:val="0"/>
        <w:spacing w:line="360" w:lineRule="auto"/>
        <w:rPr>
          <w:rFonts w:hint="eastAsia" w:ascii="仿宋_GB2312" w:hAnsi="仿宋_GB2312" w:eastAsia="仿宋_GB2312" w:cs="仿宋_GB2312"/>
          <w:b/>
          <w:bCs/>
          <w:szCs w:val="21"/>
        </w:rPr>
      </w:pPr>
      <w:r>
        <w:rPr>
          <w:rFonts w:hint="eastAsia" w:ascii="仿宋_GB2312" w:hAnsi="仿宋_GB2312" w:eastAsia="仿宋_GB2312" w:cs="仿宋_GB2312"/>
          <w:b/>
          <w:bCs/>
          <w:szCs w:val="21"/>
        </w:rPr>
        <w:t>六、公告期限</w:t>
      </w:r>
      <w:bookmarkEnd w:id="19"/>
      <w:bookmarkEnd w:id="20"/>
      <w:bookmarkEnd w:id="21"/>
      <w:bookmarkEnd w:id="22"/>
    </w:p>
    <w:p>
      <w:pPr>
        <w:adjustRightInd w:val="0"/>
        <w:snapToGrid w:val="0"/>
        <w:spacing w:line="360" w:lineRule="auto"/>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自本公告发布之日起5个工作日。</w:t>
      </w:r>
    </w:p>
    <w:p>
      <w:pPr>
        <w:keepNext/>
        <w:keepLines/>
        <w:adjustRightInd w:val="0"/>
        <w:snapToGrid w:val="0"/>
        <w:spacing w:line="360" w:lineRule="auto"/>
        <w:rPr>
          <w:rFonts w:hint="eastAsia" w:ascii="仿宋_GB2312" w:hAnsi="仿宋_GB2312" w:eastAsia="仿宋_GB2312" w:cs="仿宋_GB2312"/>
          <w:b/>
          <w:szCs w:val="21"/>
        </w:rPr>
      </w:pPr>
      <w:r>
        <w:rPr>
          <w:rFonts w:hint="eastAsia" w:ascii="仿宋_GB2312" w:hAnsi="仿宋_GB2312" w:eastAsia="仿宋_GB2312" w:cs="仿宋_GB2312"/>
          <w:b/>
          <w:szCs w:val="21"/>
        </w:rPr>
        <w:t>七、质疑与投诉</w:t>
      </w:r>
    </w:p>
    <w:p>
      <w:pPr>
        <w:widowControl/>
        <w:adjustRightInd w:val="0"/>
        <w:snapToGrid w:val="0"/>
        <w:spacing w:line="360" w:lineRule="auto"/>
        <w:ind w:firstLine="539"/>
        <w:jc w:val="left"/>
        <w:rPr>
          <w:rFonts w:hint="eastAsia" w:ascii="仿宋_GB2312" w:hAnsi="仿宋_GB2312" w:eastAsia="仿宋_GB2312" w:cs="仿宋_GB2312"/>
          <w:szCs w:val="21"/>
        </w:rPr>
      </w:pPr>
      <w:r>
        <w:rPr>
          <w:rFonts w:hint="eastAsia" w:ascii="仿宋_GB2312" w:hAnsi="仿宋_GB2312" w:eastAsia="仿宋_GB2312" w:cs="仿宋_GB2312"/>
          <w:szCs w:val="21"/>
        </w:rPr>
        <w:t>供应商认为自己的权益受到损害的，可以在知道或者应知其权益受到损害之日起七个工作日内，向采购代理机构或采购人提出质疑，其中涉及采购文件中资格条件、技术参数的询问、质疑向采购人提出。</w:t>
      </w:r>
    </w:p>
    <w:p>
      <w:pPr>
        <w:widowControl/>
        <w:adjustRightInd w:val="0"/>
        <w:snapToGrid w:val="0"/>
        <w:spacing w:line="360" w:lineRule="auto"/>
        <w:ind w:firstLine="480"/>
        <w:jc w:val="left"/>
        <w:rPr>
          <w:rFonts w:hint="eastAsia" w:ascii="仿宋_GB2312" w:hAnsi="仿宋_GB2312" w:eastAsia="仿宋_GB2312" w:cs="仿宋_GB2312"/>
          <w:szCs w:val="21"/>
        </w:rPr>
      </w:pPr>
      <w:r>
        <w:rPr>
          <w:rFonts w:hint="eastAsia" w:ascii="仿宋_GB2312" w:hAnsi="仿宋_GB2312" w:eastAsia="仿宋_GB2312" w:cs="仿宋_GB2312"/>
          <w:szCs w:val="21"/>
        </w:rPr>
        <w:t>1、接收质疑函方式：书面纸质质疑函</w:t>
      </w:r>
    </w:p>
    <w:p>
      <w:pPr>
        <w:widowControl/>
        <w:adjustRightInd w:val="0"/>
        <w:snapToGrid w:val="0"/>
        <w:spacing w:line="360" w:lineRule="auto"/>
        <w:ind w:firstLine="480"/>
        <w:jc w:val="left"/>
        <w:rPr>
          <w:rFonts w:hint="eastAsia" w:ascii="仿宋_GB2312" w:hAnsi="仿宋_GB2312" w:eastAsia="仿宋_GB2312" w:cs="仿宋_GB2312"/>
          <w:szCs w:val="21"/>
        </w:rPr>
      </w:pPr>
      <w:r>
        <w:rPr>
          <w:rFonts w:hint="eastAsia" w:ascii="仿宋_GB2312" w:hAnsi="仿宋_GB2312" w:eastAsia="仿宋_GB2312" w:cs="仿宋_GB2312"/>
          <w:szCs w:val="21"/>
        </w:rPr>
        <w:t>2、质疑函内容、格式：应符合《政府采购质疑和投诉办法》相关规定和财政部制定的《政府采购质疑函范本》格式，详见辽宁政府采购网。</w:t>
      </w:r>
    </w:p>
    <w:p>
      <w:pPr>
        <w:widowControl/>
        <w:adjustRightInd w:val="0"/>
        <w:snapToGrid w:val="0"/>
        <w:spacing w:line="360" w:lineRule="auto"/>
        <w:ind w:firstLine="480"/>
        <w:jc w:val="left"/>
        <w:rPr>
          <w:rFonts w:hint="eastAsia" w:ascii="仿宋_GB2312" w:hAnsi="仿宋_GB2312" w:eastAsia="仿宋_GB2312" w:cs="仿宋_GB2312"/>
          <w:szCs w:val="21"/>
        </w:rPr>
      </w:pPr>
      <w:r>
        <w:rPr>
          <w:rFonts w:hint="eastAsia" w:ascii="仿宋_GB2312" w:hAnsi="仿宋_GB2312" w:eastAsia="仿宋_GB2312" w:cs="仿宋_GB2312"/>
          <w:szCs w:val="21"/>
        </w:rPr>
        <w:t>质疑供应商对采购人、采购代理机构的答复不满意，或者采购人、采购代理机构未在规定时间内作出答复的，可以在答复期满后15个工作日内向本级财政部门提起投诉。</w:t>
      </w:r>
    </w:p>
    <w:p>
      <w:pPr>
        <w:numPr>
          <w:ilvl w:val="0"/>
          <w:numId w:val="2"/>
        </w:numPr>
        <w:adjustRightInd w:val="0"/>
        <w:snapToGrid w:val="0"/>
        <w:spacing w:line="360" w:lineRule="auto"/>
        <w:rPr>
          <w:rFonts w:hint="eastAsia" w:ascii="仿宋_GB2312" w:hAnsi="仿宋_GB2312" w:eastAsia="仿宋_GB2312" w:cs="仿宋_GB2312"/>
          <w:szCs w:val="21"/>
        </w:rPr>
      </w:pPr>
      <w:bookmarkStart w:id="23" w:name="_Toc35393626"/>
      <w:bookmarkStart w:id="24" w:name="_Toc35393795"/>
      <w:r>
        <w:rPr>
          <w:rFonts w:hint="eastAsia" w:ascii="仿宋_GB2312" w:hAnsi="仿宋_GB2312" w:eastAsia="仿宋_GB2312" w:cs="仿宋_GB2312"/>
          <w:szCs w:val="21"/>
        </w:rPr>
        <w:t>其他补充事宜</w:t>
      </w:r>
      <w:bookmarkEnd w:id="23"/>
      <w:bookmarkEnd w:id="24"/>
    </w:p>
    <w:p>
      <w:pPr>
        <w:adjustRightInd w:val="0"/>
        <w:snapToGrid w:val="0"/>
        <w:spacing w:line="360" w:lineRule="auto"/>
        <w:ind w:firstLine="420" w:firstLineChars="200"/>
        <w:rPr>
          <w:rFonts w:hint="eastAsia" w:ascii="仿宋_GB2312" w:hAnsi="仿宋_GB2312" w:eastAsia="仿宋_GB2312" w:cs="仿宋_GB2312"/>
          <w:szCs w:val="21"/>
        </w:rPr>
      </w:pPr>
      <w:bookmarkStart w:id="25" w:name="_Toc35393796"/>
      <w:bookmarkStart w:id="26" w:name="_Toc28359085"/>
      <w:bookmarkStart w:id="27" w:name="_Toc28359008"/>
      <w:bookmarkStart w:id="28" w:name="_Toc35393627"/>
      <w:r>
        <w:rPr>
          <w:rFonts w:hint="eastAsia" w:ascii="仿宋_GB2312" w:hAnsi="仿宋_GB2312" w:eastAsia="仿宋_GB2312" w:cs="仿宋_GB2312"/>
          <w:szCs w:val="21"/>
        </w:rPr>
        <w:t>1、领取采购文件时须提供以下材料的原件扫描件(所有资料扫描后制作成一个word文档发送至邮箱）：1、法人或者其他组织的营业执照等主体证明文件或自然人的身份证明复印件（自然人身份证明仅限在自然人作为投标主体时使用）；2、法定代表人（或非法人组织负责人）身份证明书原件（自然人作为投标主体时不需提供）；3、授权委托书原件（法定代表人、非法人组织负责人、自然人本人</w:t>
      </w:r>
      <w:r>
        <w:rPr>
          <w:rFonts w:hint="eastAsia" w:ascii="仿宋_GB2312" w:hAnsi="仿宋_GB2312" w:eastAsia="仿宋_GB2312" w:cs="仿宋_GB2312"/>
          <w:szCs w:val="21"/>
          <w:lang w:eastAsia="zh-CN"/>
        </w:rPr>
        <w:t>领取</w:t>
      </w:r>
      <w:r>
        <w:rPr>
          <w:rFonts w:hint="eastAsia" w:ascii="仿宋_GB2312" w:hAnsi="仿宋_GB2312" w:eastAsia="仿宋_GB2312" w:cs="仿宋_GB2312"/>
          <w:szCs w:val="21"/>
        </w:rPr>
        <w:t>采购文件的无需提供）4、领取文件登记表（注明项目名称、时间、单位名称、联系人、联系电话、邮箱等信息，格式自拟））在获取采购文件时间截止前发送至邮箱（邮箱地址：KZJYZXBM@126.com)以收到符合要求的邮件时间为准）。资料提供齐全后，交易中心将采购文件发送至供应商的邮箱，请供应商自行关注邮箱信息。</w:t>
      </w:r>
    </w:p>
    <w:p>
      <w:pP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2、请参加投标会议供应商密切关注疫情动态，严格执行喀左县疫情防控指挥部相关要求和喀左县政府采购中心相关通知。</w:t>
      </w:r>
    </w:p>
    <w:p>
      <w:pPr>
        <w:adjustRightInd w:val="0"/>
        <w:snapToGrid w:val="0"/>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九、对本次招标提出询问，请按以下方式联系。</w:t>
      </w:r>
      <w:bookmarkEnd w:id="25"/>
      <w:bookmarkEnd w:id="26"/>
      <w:bookmarkEnd w:id="27"/>
      <w:bookmarkEnd w:id="28"/>
    </w:p>
    <w:p>
      <w:pPr>
        <w:adjustRightInd w:val="0"/>
        <w:snapToGrid w:val="0"/>
        <w:spacing w:line="360" w:lineRule="auto"/>
        <w:ind w:left="495" w:firstLine="210" w:firstLineChars="100"/>
        <w:rPr>
          <w:rFonts w:hint="eastAsia" w:ascii="仿宋_GB2312" w:hAnsi="仿宋_GB2312" w:eastAsia="仿宋_GB2312" w:cs="仿宋_GB2312"/>
          <w:szCs w:val="21"/>
        </w:rPr>
      </w:pPr>
      <w:r>
        <w:rPr>
          <w:rFonts w:hint="eastAsia" w:ascii="仿宋_GB2312" w:hAnsi="仿宋_GB2312" w:eastAsia="仿宋_GB2312" w:cs="仿宋_GB2312"/>
          <w:szCs w:val="21"/>
        </w:rPr>
        <w:t>1.采购人信息</w:t>
      </w:r>
    </w:p>
    <w:p>
      <w:pPr>
        <w:widowControl/>
        <w:adjustRightInd w:val="0"/>
        <w:snapToGrid w:val="0"/>
        <w:spacing w:line="360" w:lineRule="auto"/>
        <w:ind w:firstLine="831" w:firstLineChars="396"/>
        <w:jc w:val="left"/>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采购人：</w:t>
      </w:r>
      <w:r>
        <w:rPr>
          <w:rFonts w:hint="eastAsia" w:ascii="仿宋_GB2312" w:hAnsi="仿宋_GB2312" w:eastAsia="仿宋_GB2312" w:cs="仿宋_GB2312"/>
          <w:kern w:val="0"/>
          <w:szCs w:val="21"/>
          <w:lang w:eastAsia="zh-CN"/>
        </w:rPr>
        <w:t>喀左县教育局</w:t>
      </w:r>
      <w:r>
        <w:rPr>
          <w:rFonts w:hint="eastAsia" w:ascii="仿宋_GB2312" w:hAnsi="仿宋_GB2312" w:eastAsia="仿宋_GB2312" w:cs="仿宋_GB2312"/>
          <w:kern w:val="0"/>
          <w:szCs w:val="21"/>
          <w:lang w:val="en-US" w:eastAsia="zh-CN"/>
        </w:rPr>
        <w:t xml:space="preserve">       </w:t>
      </w:r>
    </w:p>
    <w:p>
      <w:pPr>
        <w:widowControl/>
        <w:adjustRightInd w:val="0"/>
        <w:snapToGrid w:val="0"/>
        <w:spacing w:line="360" w:lineRule="auto"/>
        <w:ind w:firstLine="630" w:firstLineChars="300"/>
        <w:jc w:val="left"/>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 xml:space="preserve"> </w:t>
      </w:r>
      <w:r>
        <w:rPr>
          <w:rFonts w:hint="eastAsia" w:ascii="仿宋_GB2312" w:hAnsi="仿宋_GB2312" w:eastAsia="仿宋_GB2312" w:cs="仿宋_GB2312"/>
          <w:kern w:val="0"/>
          <w:szCs w:val="21"/>
        </w:rPr>
        <w:t xml:space="preserve">地址： </w:t>
      </w:r>
      <w:r>
        <w:rPr>
          <w:rFonts w:hint="eastAsia" w:ascii="仿宋_GB2312" w:hAnsi="仿宋_GB2312" w:eastAsia="仿宋_GB2312" w:cs="仿宋_GB2312"/>
          <w:kern w:val="0"/>
          <w:szCs w:val="21"/>
          <w:lang w:eastAsia="zh-CN"/>
        </w:rPr>
        <w:t>喀左县利州街道滨河南路</w:t>
      </w:r>
    </w:p>
    <w:p>
      <w:pPr>
        <w:widowControl/>
        <w:adjustRightInd w:val="0"/>
        <w:snapToGrid w:val="0"/>
        <w:spacing w:line="360" w:lineRule="auto"/>
        <w:ind w:firstLine="630" w:firstLineChars="300"/>
        <w:jc w:val="left"/>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 xml:space="preserve"> 联系电话：</w:t>
      </w:r>
      <w:r>
        <w:rPr>
          <w:rFonts w:hint="eastAsia" w:ascii="仿宋_GB2312" w:hAnsi="仿宋_GB2312" w:eastAsia="仿宋_GB2312" w:cs="仿宋_GB2312"/>
          <w:kern w:val="0"/>
          <w:szCs w:val="21"/>
          <w:lang w:val="en-US" w:eastAsia="zh-CN"/>
        </w:rPr>
        <w:t>13842137157</w:t>
      </w:r>
    </w:p>
    <w:p>
      <w:pPr>
        <w:adjustRightInd w:val="0"/>
        <w:snapToGrid w:val="0"/>
        <w:spacing w:line="360" w:lineRule="auto"/>
        <w:ind w:left="495" w:firstLine="210" w:firstLineChars="100"/>
        <w:rPr>
          <w:rFonts w:hint="eastAsia" w:ascii="仿宋_GB2312" w:hAnsi="仿宋_GB2312" w:eastAsia="仿宋_GB2312" w:cs="仿宋_GB2312"/>
          <w:szCs w:val="21"/>
        </w:rPr>
      </w:pPr>
      <w:r>
        <w:rPr>
          <w:rFonts w:hint="eastAsia" w:ascii="仿宋_GB2312" w:hAnsi="仿宋_GB2312" w:eastAsia="仿宋_GB2312" w:cs="仿宋_GB2312"/>
          <w:szCs w:val="21"/>
        </w:rPr>
        <w:t>2.采购代理机构信息</w:t>
      </w:r>
    </w:p>
    <w:p>
      <w:pPr>
        <w:adjustRightInd w:val="0"/>
        <w:snapToGrid w:val="0"/>
        <w:spacing w:line="360" w:lineRule="auto"/>
        <w:ind w:left="495" w:firstLine="210" w:firstLineChars="100"/>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名称： 喀左县政府采购中心　</w:t>
      </w:r>
    </w:p>
    <w:p>
      <w:pPr>
        <w:adjustRightInd w:val="0"/>
        <w:snapToGrid w:val="0"/>
        <w:spacing w:line="360" w:lineRule="auto"/>
        <w:ind w:left="495" w:firstLine="210" w:firstLineChars="100"/>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地址： 喀左县大城子镇青年街　　</w:t>
      </w:r>
    </w:p>
    <w:p>
      <w:pPr>
        <w:adjustRightInd w:val="0"/>
        <w:snapToGrid w:val="0"/>
        <w:spacing w:line="360" w:lineRule="auto"/>
        <w:ind w:left="495" w:firstLine="210" w:firstLineChars="100"/>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联系方式：　</w:t>
      </w:r>
      <w:r>
        <w:rPr>
          <w:rFonts w:hint="eastAsia" w:ascii="仿宋_GB2312" w:hAnsi="仿宋_GB2312" w:eastAsia="仿宋_GB2312" w:cs="仿宋_GB2312"/>
          <w:szCs w:val="21"/>
          <w:lang w:val="en-US" w:eastAsia="zh-CN"/>
        </w:rPr>
        <w:t>0421-4885008</w:t>
      </w:r>
      <w:r>
        <w:rPr>
          <w:rFonts w:hint="eastAsia" w:ascii="仿宋_GB2312" w:hAnsi="仿宋_GB2312" w:eastAsia="仿宋_GB2312" w:cs="仿宋_GB2312"/>
          <w:szCs w:val="21"/>
          <w:lang w:eastAsia="zh-CN"/>
        </w:rPr>
        <w:t>　　</w:t>
      </w:r>
    </w:p>
    <w:p>
      <w:pPr>
        <w:numPr>
          <w:ilvl w:val="0"/>
          <w:numId w:val="0"/>
        </w:numPr>
        <w:adjustRightInd w:val="0"/>
        <w:snapToGrid w:val="0"/>
        <w:spacing w:line="360" w:lineRule="auto"/>
        <w:ind w:leftChars="100"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项目联系方式</w:t>
      </w:r>
      <w:r>
        <w:rPr>
          <w:rFonts w:hint="eastAsia" w:ascii="仿宋_GB2312" w:hAnsi="仿宋_GB2312" w:eastAsia="仿宋_GB2312" w:cs="仿宋_GB2312"/>
          <w:szCs w:val="21"/>
          <w:lang w:val="en-US" w:eastAsia="zh-CN"/>
        </w:rPr>
        <w:t xml:space="preserve"> </w:t>
      </w:r>
    </w:p>
    <w:p>
      <w:pPr>
        <w:numPr>
          <w:ilvl w:val="0"/>
          <w:numId w:val="0"/>
        </w:numPr>
        <w:adjustRightInd w:val="0"/>
        <w:snapToGrid w:val="0"/>
        <w:spacing w:line="360" w:lineRule="auto"/>
        <w:ind w:firstLine="630" w:firstLineChars="300"/>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szCs w:val="21"/>
        </w:rPr>
        <w:t>项目联系人：</w:t>
      </w:r>
      <w:r>
        <w:rPr>
          <w:rFonts w:hint="eastAsia" w:ascii="仿宋_GB2312" w:hAnsi="仿宋_GB2312" w:eastAsia="仿宋_GB2312" w:cs="仿宋_GB2312"/>
          <w:szCs w:val="21"/>
          <w:lang w:eastAsia="zh-CN"/>
        </w:rPr>
        <w:t>潘</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lang w:eastAsia="zh-CN"/>
        </w:rPr>
        <w:t>悦</w:t>
      </w:r>
    </w:p>
    <w:p>
      <w:pPr>
        <w:widowControl/>
        <w:adjustRightInd w:val="0"/>
        <w:snapToGrid w:val="0"/>
        <w:spacing w:line="360" w:lineRule="auto"/>
        <w:ind w:firstLine="630" w:firstLineChars="300"/>
        <w:jc w:val="left"/>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电　话：</w:t>
      </w:r>
      <w:bookmarkStart w:id="29" w:name="_Toc9614"/>
      <w:bookmarkStart w:id="30" w:name="_Toc26518_WPSOffice_Level1"/>
      <w:r>
        <w:rPr>
          <w:rFonts w:hint="eastAsia" w:ascii="仿宋_GB2312" w:hAnsi="仿宋_GB2312" w:eastAsia="仿宋_GB2312" w:cs="仿宋_GB2312"/>
          <w:kern w:val="0"/>
          <w:szCs w:val="21"/>
          <w:lang w:val="en-US" w:eastAsia="zh-CN"/>
        </w:rPr>
        <w:t>13842137157</w:t>
      </w:r>
    </w:p>
    <w:p>
      <w:pPr>
        <w:widowControl/>
        <w:adjustRightInd w:val="0"/>
        <w:snapToGrid w:val="0"/>
        <w:spacing w:line="360" w:lineRule="auto"/>
        <w:ind w:firstLine="630" w:firstLineChars="300"/>
        <w:jc w:val="left"/>
        <w:rPr>
          <w:rFonts w:hint="default" w:ascii="仿宋_GB2312" w:hAnsi="仿宋_GB2312" w:eastAsia="仿宋_GB2312" w:cs="仿宋_GB2312"/>
          <w:kern w:val="0"/>
          <w:szCs w:val="21"/>
          <w:lang w:val="en-US" w:eastAsia="zh-CN"/>
        </w:rPr>
      </w:pPr>
    </w:p>
    <w:p>
      <w:pPr>
        <w:widowControl/>
        <w:adjustRightInd w:val="0"/>
        <w:snapToGrid w:val="0"/>
        <w:spacing w:line="360" w:lineRule="auto"/>
        <w:ind w:firstLine="621" w:firstLineChars="296"/>
        <w:jc w:val="left"/>
        <w:rPr>
          <w:rFonts w:hint="eastAsia" w:ascii="仿宋_GB2312" w:hAnsi="仿宋_GB2312" w:eastAsia="仿宋_GB2312" w:cs="仿宋_GB2312"/>
          <w:kern w:val="0"/>
          <w:szCs w:val="21"/>
          <w:lang w:val="en-US" w:eastAsia="zh-CN"/>
        </w:rPr>
      </w:pPr>
    </w:p>
    <w:p>
      <w:pPr>
        <w:pStyle w:val="41"/>
        <w:rPr>
          <w:rFonts w:hint="eastAsia"/>
        </w:rPr>
      </w:pPr>
    </w:p>
    <w:p>
      <w:pPr>
        <w:pStyle w:val="9"/>
        <w:rPr>
          <w:rFonts w:hint="eastAsia" w:ascii="仿宋_GB2312" w:hAnsi="仿宋_GB2312" w:eastAsia="仿宋_GB2312" w:cs="仿宋_GB2312"/>
          <w:kern w:val="0"/>
          <w:szCs w:val="21"/>
          <w:u w:val="none"/>
          <w:lang w:val="en-US" w:eastAsia="zh-CN"/>
        </w:rPr>
      </w:pPr>
    </w:p>
    <w:p>
      <w:pPr>
        <w:pStyle w:val="3"/>
        <w:snapToGrid w:val="0"/>
        <w:spacing w:before="312" w:beforeLines="100" w:after="312" w:afterLines="100" w:line="360" w:lineRule="auto"/>
        <w:jc w:val="both"/>
        <w:rPr>
          <w:rFonts w:hint="eastAsia" w:ascii="仿宋_GB2312" w:hAnsi="仿宋_GB2312" w:eastAsia="仿宋_GB2312" w:cs="仿宋_GB2312"/>
          <w:b w:val="0"/>
          <w:bCs/>
        </w:rPr>
      </w:pPr>
    </w:p>
    <w:p>
      <w:pPr>
        <w:pStyle w:val="3"/>
        <w:snapToGrid w:val="0"/>
        <w:spacing w:before="312" w:beforeLines="100" w:after="312" w:afterLines="100" w:line="360" w:lineRule="auto"/>
        <w:jc w:val="both"/>
        <w:rPr>
          <w:rFonts w:hint="eastAsia" w:ascii="仿宋_GB2312" w:hAnsi="仿宋_GB2312" w:eastAsia="仿宋_GB2312" w:cs="仿宋_GB2312"/>
          <w:b w:val="0"/>
          <w:bCs/>
        </w:rPr>
      </w:pPr>
    </w:p>
    <w:p>
      <w:pPr>
        <w:pStyle w:val="3"/>
        <w:snapToGrid w:val="0"/>
        <w:spacing w:before="312" w:beforeLines="100" w:after="312" w:afterLines="100" w:line="360" w:lineRule="auto"/>
        <w:jc w:val="both"/>
        <w:rPr>
          <w:rFonts w:hint="eastAsia" w:ascii="仿宋_GB2312" w:hAnsi="仿宋_GB2312" w:eastAsia="仿宋_GB2312" w:cs="仿宋_GB2312"/>
          <w:b w:val="0"/>
          <w:bCs/>
        </w:rPr>
      </w:pPr>
    </w:p>
    <w:p>
      <w:pPr>
        <w:pStyle w:val="3"/>
        <w:snapToGrid w:val="0"/>
        <w:spacing w:before="312" w:beforeLines="100" w:after="312" w:afterLines="100" w:line="360" w:lineRule="auto"/>
        <w:jc w:val="both"/>
        <w:rPr>
          <w:rFonts w:hint="eastAsia" w:ascii="仿宋_GB2312" w:hAnsi="仿宋_GB2312" w:eastAsia="仿宋_GB2312" w:cs="仿宋_GB2312"/>
        </w:rPr>
      </w:pPr>
    </w:p>
    <w:p>
      <w:pPr>
        <w:rPr>
          <w:rFonts w:hint="eastAsia" w:ascii="仿宋_GB2312" w:hAnsi="仿宋_GB2312" w:eastAsia="仿宋_GB2312" w:cs="仿宋_GB2312"/>
        </w:rPr>
      </w:pPr>
    </w:p>
    <w:p>
      <w:pPr>
        <w:pStyle w:val="41"/>
        <w:rPr>
          <w:rFonts w:hint="eastAsia" w:ascii="仿宋_GB2312" w:hAnsi="仿宋_GB2312" w:eastAsia="仿宋_GB2312" w:cs="仿宋_GB2312"/>
        </w:rPr>
      </w:pPr>
    </w:p>
    <w:p>
      <w:pPr>
        <w:rPr>
          <w:rFonts w:hint="eastAsia"/>
        </w:rPr>
      </w:pPr>
    </w:p>
    <w:p>
      <w:pPr>
        <w:pStyle w:val="3"/>
        <w:snapToGrid w:val="0"/>
        <w:spacing w:before="312" w:beforeLines="100" w:after="312" w:afterLines="100" w:line="360" w:lineRule="auto"/>
        <w:jc w:val="center"/>
        <w:rPr>
          <w:rFonts w:hint="eastAsia" w:ascii="仿宋_GB2312" w:hAnsi="仿宋_GB2312" w:eastAsia="仿宋_GB2312" w:cs="仿宋_GB2312"/>
        </w:rPr>
      </w:pPr>
    </w:p>
    <w:p>
      <w:pPr>
        <w:pStyle w:val="3"/>
        <w:snapToGrid w:val="0"/>
        <w:spacing w:before="312" w:beforeLines="100" w:after="312" w:afterLines="100" w:line="360" w:lineRule="auto"/>
        <w:jc w:val="center"/>
        <w:rPr>
          <w:rFonts w:ascii="仿宋_GB2312" w:hAnsi="仿宋_GB2312" w:eastAsia="仿宋_GB2312" w:cs="仿宋_GB2312"/>
        </w:rPr>
      </w:pPr>
      <w:r>
        <w:rPr>
          <w:rFonts w:hint="eastAsia" w:ascii="仿宋_GB2312" w:hAnsi="仿宋_GB2312" w:eastAsia="仿宋_GB2312" w:cs="仿宋_GB2312"/>
        </w:rPr>
        <w:t>第一章 投标人须知</w:t>
      </w:r>
      <w:bookmarkEnd w:id="29"/>
      <w:bookmarkEnd w:id="30"/>
    </w:p>
    <w:p>
      <w:pPr>
        <w:pStyle w:val="4"/>
        <w:adjustRightInd w:val="0"/>
        <w:snapToGrid w:val="0"/>
        <w:spacing w:before="0" w:after="0" w:line="360" w:lineRule="auto"/>
        <w:rPr>
          <w:rFonts w:ascii="仿宋_GB2312" w:hAnsi="仿宋_GB2312" w:eastAsia="仿宋_GB2312" w:cs="仿宋_GB2312"/>
          <w:sz w:val="32"/>
          <w:szCs w:val="36"/>
        </w:rPr>
      </w:pPr>
      <w:bookmarkStart w:id="31" w:name="_Toc18613_WPSOffice_Level2"/>
      <w:r>
        <w:rPr>
          <w:rFonts w:hint="eastAsia" w:ascii="仿宋_GB2312" w:hAnsi="仿宋_GB2312" w:eastAsia="仿宋_GB2312" w:cs="仿宋_GB2312"/>
          <w:sz w:val="32"/>
          <w:szCs w:val="36"/>
        </w:rPr>
        <w:t>一 投标人须知表</w:t>
      </w:r>
      <w:bookmarkEnd w:id="31"/>
    </w:p>
    <w:tbl>
      <w:tblPr>
        <w:tblStyle w:val="19"/>
        <w:tblW w:w="8656" w:type="dxa"/>
        <w:tblInd w:w="0" w:type="dxa"/>
        <w:tblLayout w:type="fixed"/>
        <w:tblCellMar>
          <w:top w:w="0" w:type="dxa"/>
          <w:left w:w="108" w:type="dxa"/>
          <w:bottom w:w="0" w:type="dxa"/>
          <w:right w:w="108" w:type="dxa"/>
        </w:tblCellMar>
      </w:tblPr>
      <w:tblGrid>
        <w:gridCol w:w="852"/>
        <w:gridCol w:w="1917"/>
        <w:gridCol w:w="5887"/>
      </w:tblGrid>
      <w:tr>
        <w:tblPrEx>
          <w:tblCellMar>
            <w:top w:w="0" w:type="dxa"/>
            <w:left w:w="108" w:type="dxa"/>
            <w:bottom w:w="0" w:type="dxa"/>
            <w:right w:w="108" w:type="dxa"/>
          </w:tblCellMar>
        </w:tblPrEx>
        <w:trPr>
          <w:trHeight w:val="497" w:hRule="atLeast"/>
          <w:tblHeader/>
        </w:trPr>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Cs w:val="21"/>
              </w:rPr>
            </w:pPr>
            <w:bookmarkStart w:id="32" w:name="招标项目基本内容及要求：Block"/>
            <w:bookmarkEnd w:id="32"/>
            <w:bookmarkStart w:id="33" w:name="招标项目基本内容及要求其他：Block"/>
            <w:bookmarkEnd w:id="33"/>
            <w:bookmarkStart w:id="34" w:name="sys_招标项目基本内容及要求：Block"/>
            <w:bookmarkEnd w:id="34"/>
            <w:bookmarkStart w:id="35" w:name="sys_招标项目基本内容及要求其他：Block"/>
            <w:bookmarkEnd w:id="35"/>
            <w:r>
              <w:rPr>
                <w:rFonts w:hint="eastAsia" w:ascii="仿宋_GB2312" w:hAnsi="仿宋_GB2312" w:eastAsia="仿宋_GB2312" w:cs="仿宋_GB2312"/>
                <w:kern w:val="0"/>
                <w:szCs w:val="21"/>
              </w:rPr>
              <w:t>条款号</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项   目</w:t>
            </w:r>
          </w:p>
        </w:tc>
        <w:tc>
          <w:tcPr>
            <w:tcW w:w="58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内     容</w:t>
            </w:r>
          </w:p>
        </w:tc>
      </w:tr>
      <w:tr>
        <w:tblPrEx>
          <w:tblCellMar>
            <w:top w:w="0" w:type="dxa"/>
            <w:left w:w="108" w:type="dxa"/>
            <w:bottom w:w="0" w:type="dxa"/>
            <w:right w:w="108" w:type="dxa"/>
          </w:tblCellMar>
        </w:tblPrEx>
        <w:trPr>
          <w:trHeight w:val="1252"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采购人</w:t>
            </w:r>
          </w:p>
        </w:tc>
        <w:tc>
          <w:tcPr>
            <w:tcW w:w="58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采购人：</w:t>
            </w:r>
            <w:r>
              <w:rPr>
                <w:rFonts w:hint="eastAsia" w:ascii="仿宋_GB2312" w:hAnsi="仿宋_GB2312" w:eastAsia="仿宋_GB2312" w:cs="仿宋_GB2312"/>
                <w:color w:val="auto"/>
                <w:kern w:val="0"/>
                <w:szCs w:val="21"/>
                <w:lang w:eastAsia="zh-CN"/>
              </w:rPr>
              <w:t>喀左县教育局</w:t>
            </w:r>
            <w:r>
              <w:rPr>
                <w:rFonts w:hint="eastAsia" w:ascii="仿宋_GB2312" w:hAnsi="仿宋_GB2312" w:eastAsia="仿宋_GB2312" w:cs="仿宋_GB2312"/>
                <w:color w:val="auto"/>
                <w:kern w:val="0"/>
                <w:szCs w:val="21"/>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xml:space="preserve">地址：  </w:t>
            </w:r>
            <w:r>
              <w:rPr>
                <w:rFonts w:hint="eastAsia" w:ascii="仿宋_GB2312" w:hAnsi="仿宋_GB2312" w:eastAsia="仿宋_GB2312" w:cs="仿宋_GB2312"/>
                <w:color w:val="auto"/>
                <w:kern w:val="0"/>
                <w:szCs w:val="21"/>
                <w:lang w:eastAsia="zh-CN"/>
              </w:rPr>
              <w:t>喀左县利州街道滨河南路</w:t>
            </w:r>
          </w:p>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xml:space="preserve">项目联系人： </w:t>
            </w:r>
            <w:r>
              <w:rPr>
                <w:rFonts w:hint="eastAsia" w:ascii="仿宋_GB2312" w:hAnsi="仿宋_GB2312" w:eastAsia="仿宋_GB2312" w:cs="仿宋_GB2312"/>
                <w:color w:val="auto"/>
                <w:kern w:val="0"/>
                <w:szCs w:val="21"/>
                <w:lang w:eastAsia="zh-CN"/>
              </w:rPr>
              <w:t>潘</w:t>
            </w:r>
            <w:r>
              <w:rPr>
                <w:rFonts w:hint="eastAsia" w:ascii="仿宋_GB2312" w:hAnsi="仿宋_GB2312" w:eastAsia="仿宋_GB2312" w:cs="仿宋_GB2312"/>
                <w:color w:val="auto"/>
                <w:kern w:val="0"/>
                <w:szCs w:val="21"/>
                <w:lang w:val="en-US" w:eastAsia="zh-CN"/>
              </w:rPr>
              <w:t xml:space="preserve">  </w:t>
            </w:r>
            <w:r>
              <w:rPr>
                <w:rFonts w:hint="eastAsia" w:ascii="仿宋_GB2312" w:hAnsi="仿宋_GB2312" w:eastAsia="仿宋_GB2312" w:cs="仿宋_GB2312"/>
                <w:color w:val="auto"/>
                <w:kern w:val="0"/>
                <w:szCs w:val="21"/>
                <w:lang w:eastAsia="zh-CN"/>
              </w:rPr>
              <w:t>悦</w:t>
            </w:r>
            <w:r>
              <w:rPr>
                <w:rFonts w:hint="eastAsia" w:ascii="仿宋_GB2312" w:hAnsi="仿宋_GB2312" w:eastAsia="仿宋_GB2312" w:cs="仿宋_GB2312"/>
                <w:color w:val="auto"/>
                <w:kern w:val="0"/>
                <w:szCs w:val="21"/>
              </w:rPr>
              <w:t xml:space="preserve">       </w:t>
            </w:r>
          </w:p>
          <w:p>
            <w:pPr>
              <w:widowControl/>
              <w:adjustRightInd w:val="0"/>
              <w:snapToGrid w:val="0"/>
              <w:spacing w:line="360" w:lineRule="auto"/>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联系电话：</w:t>
            </w:r>
            <w:r>
              <w:rPr>
                <w:rFonts w:hint="eastAsia" w:ascii="仿宋_GB2312" w:hAnsi="仿宋_GB2312" w:eastAsia="仿宋_GB2312" w:cs="仿宋_GB2312"/>
                <w:kern w:val="0"/>
                <w:szCs w:val="21"/>
                <w:lang w:val="en-US" w:eastAsia="zh-CN"/>
              </w:rPr>
              <w:t>13842137157</w:t>
            </w:r>
          </w:p>
        </w:tc>
      </w:tr>
      <w:tr>
        <w:tblPrEx>
          <w:tblCellMar>
            <w:top w:w="0" w:type="dxa"/>
            <w:left w:w="108" w:type="dxa"/>
            <w:bottom w:w="0" w:type="dxa"/>
            <w:right w:w="108" w:type="dxa"/>
          </w:tblCellMar>
        </w:tblPrEx>
        <w:trPr>
          <w:trHeight w:val="1252"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1.2</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采购代理机构</w:t>
            </w:r>
          </w:p>
        </w:tc>
        <w:tc>
          <w:tcPr>
            <w:tcW w:w="58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kern w:val="0"/>
                <w:szCs w:val="21"/>
              </w:rPr>
              <w:t>采购代理机构：</w:t>
            </w:r>
            <w:r>
              <w:rPr>
                <w:rFonts w:hint="eastAsia" w:ascii="仿宋_GB2312" w:hAnsi="仿宋_GB2312" w:eastAsia="仿宋_GB2312" w:cs="仿宋_GB2312"/>
                <w:color w:val="auto"/>
                <w:szCs w:val="21"/>
                <w:lang w:eastAsia="zh-CN"/>
              </w:rPr>
              <w:t xml:space="preserve"> 喀左县政府采购中心　</w:t>
            </w:r>
          </w:p>
          <w:p>
            <w:pPr>
              <w:keepNext w:val="0"/>
              <w:keepLines w:val="0"/>
              <w:pageBreakBefore w:val="0"/>
              <w:widowControl/>
              <w:kinsoku/>
              <w:wordWrap/>
              <w:overflowPunct/>
              <w:topLinePunct w:val="0"/>
              <w:autoSpaceDE/>
              <w:autoSpaceDN/>
              <w:bidi w:val="0"/>
              <w:spacing w:line="240" w:lineRule="auto"/>
              <w:jc w:val="left"/>
              <w:textAlignment w:val="auto"/>
              <w:rPr>
                <w:rFonts w:hint="default"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 xml:space="preserve">地址： </w:t>
            </w:r>
            <w:r>
              <w:rPr>
                <w:rFonts w:hint="eastAsia" w:ascii="仿宋_GB2312" w:hAnsi="仿宋_GB2312" w:eastAsia="仿宋_GB2312" w:cs="仿宋_GB2312"/>
                <w:color w:val="auto"/>
                <w:kern w:val="0"/>
                <w:szCs w:val="21"/>
                <w:lang w:eastAsia="zh-CN"/>
              </w:rPr>
              <w:t>喀左县大城子街道青年街</w:t>
            </w:r>
            <w:r>
              <w:rPr>
                <w:rFonts w:hint="eastAsia" w:ascii="仿宋_GB2312" w:hAnsi="仿宋_GB2312" w:eastAsia="仿宋_GB2312" w:cs="仿宋_GB2312"/>
                <w:color w:val="auto"/>
                <w:kern w:val="0"/>
                <w:szCs w:val="21"/>
                <w:lang w:val="en-US" w:eastAsia="zh-CN"/>
              </w:rPr>
              <w:t>71号</w:t>
            </w:r>
          </w:p>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项目联系人：</w:t>
            </w:r>
            <w:r>
              <w:rPr>
                <w:rFonts w:hint="eastAsia" w:ascii="仿宋_GB2312" w:hAnsi="仿宋_GB2312" w:eastAsia="仿宋_GB2312" w:cs="仿宋_GB2312"/>
                <w:color w:val="auto"/>
                <w:kern w:val="0"/>
                <w:szCs w:val="21"/>
                <w:lang w:eastAsia="zh-CN"/>
              </w:rPr>
              <w:t>刘国义</w:t>
            </w:r>
            <w:r>
              <w:rPr>
                <w:rFonts w:hint="eastAsia" w:ascii="仿宋_GB2312" w:hAnsi="仿宋_GB2312" w:eastAsia="仿宋_GB2312" w:cs="仿宋_GB2312"/>
                <w:color w:val="auto"/>
                <w:kern w:val="0"/>
                <w:szCs w:val="21"/>
              </w:rPr>
              <w:t xml:space="preserve">               </w:t>
            </w:r>
          </w:p>
          <w:p>
            <w:pPr>
              <w:keepNext w:val="0"/>
              <w:keepLines w:val="0"/>
              <w:pageBreakBefore w:val="0"/>
              <w:widowControl/>
              <w:kinsoku/>
              <w:wordWrap/>
              <w:overflowPunct/>
              <w:topLinePunct w:val="0"/>
              <w:autoSpaceDE/>
              <w:autoSpaceDN/>
              <w:bidi w:val="0"/>
              <w:spacing w:line="240" w:lineRule="auto"/>
              <w:jc w:val="left"/>
              <w:textAlignment w:val="auto"/>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联系电话：</w:t>
            </w:r>
            <w:r>
              <w:rPr>
                <w:rFonts w:hint="eastAsia" w:ascii="仿宋_GB2312" w:hAnsi="仿宋_GB2312" w:eastAsia="仿宋_GB2312" w:cs="仿宋_GB2312"/>
                <w:color w:val="auto"/>
                <w:kern w:val="0"/>
                <w:szCs w:val="21"/>
                <w:lang w:val="en-US" w:eastAsia="zh-CN"/>
              </w:rPr>
              <w:t>0421-4885008</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1.3.4</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合格供应商还要满足的其它资格条件</w:t>
            </w:r>
          </w:p>
        </w:tc>
        <w:tc>
          <w:tcPr>
            <w:tcW w:w="588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投标人为生产商的必须提供食品生产许可证、品种明细表、食品经营许可证；投标人为代理商或经销商的必须提供是食品经营许可证和所投产品生产商的食品生产许可证、品种明细表复印件；</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1.3.5</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tabs>
                <w:tab w:val="left" w:pos="1425"/>
              </w:tabs>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是否允许采购进口产品</w:t>
            </w:r>
          </w:p>
        </w:tc>
        <w:tc>
          <w:tcPr>
            <w:tcW w:w="588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Cs/>
                <w:kern w:val="0"/>
                <w:szCs w:val="21"/>
              </w:rPr>
            </w:pPr>
            <w:r>
              <w:rPr>
                <w:rFonts w:hint="eastAsia" w:ascii="仿宋_GB2312" w:hAnsi="仿宋_GB2312" w:eastAsia="仿宋_GB2312" w:cs="仿宋_GB2312"/>
                <w:kern w:val="0"/>
                <w:szCs w:val="21"/>
              </w:rPr>
              <w:t>否</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1.3.6</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tabs>
                <w:tab w:val="left" w:pos="1425"/>
              </w:tabs>
              <w:jc w:val="center"/>
              <w:rPr>
                <w:rFonts w:ascii="仿宋_GB2312" w:hAnsi="仿宋_GB2312" w:eastAsia="仿宋_GB2312" w:cs="仿宋_GB2312"/>
                <w:bCs/>
                <w:kern w:val="0"/>
                <w:szCs w:val="21"/>
              </w:rPr>
            </w:pPr>
            <w:r>
              <w:rPr>
                <w:rFonts w:hint="eastAsia" w:ascii="仿宋_GB2312" w:hAnsi="仿宋_GB2312" w:eastAsia="仿宋_GB2312" w:cs="仿宋_GB2312"/>
                <w:kern w:val="0"/>
                <w:szCs w:val="21"/>
              </w:rPr>
              <w:t>是否为专门面向</w:t>
            </w:r>
            <w:r>
              <w:rPr>
                <w:rFonts w:hint="eastAsia" w:ascii="仿宋_GB2312" w:hAnsi="仿宋_GB2312" w:eastAsia="仿宋_GB2312" w:cs="仿宋_GB2312"/>
                <w:szCs w:val="21"/>
              </w:rPr>
              <w:t>中小企业</w:t>
            </w:r>
            <w:r>
              <w:rPr>
                <w:rFonts w:hint="eastAsia" w:ascii="仿宋_GB2312" w:hAnsi="仿宋_GB2312" w:eastAsia="仿宋_GB2312" w:cs="仿宋_GB2312"/>
                <w:kern w:val="0"/>
                <w:szCs w:val="21"/>
              </w:rPr>
              <w:t>采购</w:t>
            </w:r>
          </w:p>
        </w:tc>
        <w:tc>
          <w:tcPr>
            <w:tcW w:w="588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Cs/>
                <w:kern w:val="0"/>
                <w:szCs w:val="21"/>
              </w:rPr>
            </w:pPr>
            <w:r>
              <w:rPr>
                <w:rFonts w:hint="eastAsia" w:ascii="仿宋_GB2312" w:hAnsi="仿宋_GB2312" w:eastAsia="仿宋_GB2312" w:cs="仿宋_GB2312"/>
                <w:kern w:val="0"/>
                <w:szCs w:val="21"/>
              </w:rPr>
              <w:t>否</w:t>
            </w:r>
          </w:p>
        </w:tc>
      </w:tr>
      <w:tr>
        <w:tblPrEx>
          <w:tblCellMar>
            <w:top w:w="0" w:type="dxa"/>
            <w:left w:w="108" w:type="dxa"/>
            <w:bottom w:w="0" w:type="dxa"/>
            <w:right w:w="108" w:type="dxa"/>
          </w:tblCellMar>
        </w:tblPrEx>
        <w:trPr>
          <w:trHeight w:val="836"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1.3.7</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tabs>
                <w:tab w:val="left" w:pos="1425"/>
              </w:tabs>
              <w:jc w:val="center"/>
              <w:rPr>
                <w:rFonts w:ascii="仿宋_GB2312" w:hAnsi="仿宋_GB2312" w:eastAsia="仿宋_GB2312" w:cs="仿宋_GB2312"/>
                <w:szCs w:val="21"/>
              </w:rPr>
            </w:pPr>
            <w:r>
              <w:rPr>
                <w:rFonts w:hint="eastAsia" w:ascii="仿宋_GB2312" w:hAnsi="仿宋_GB2312" w:eastAsia="仿宋_GB2312" w:cs="仿宋_GB2312"/>
                <w:szCs w:val="21"/>
              </w:rPr>
              <w:t>是否有政府强制采购的节能产品</w:t>
            </w:r>
          </w:p>
        </w:tc>
        <w:tc>
          <w:tcPr>
            <w:tcW w:w="588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kern w:val="0"/>
                <w:szCs w:val="21"/>
              </w:rPr>
            </w:pPr>
            <w:r>
              <w:rPr>
                <w:rFonts w:hint="eastAsia" w:ascii="仿宋_GB2312" w:hAnsi="仿宋_GB2312" w:eastAsia="仿宋_GB2312" w:cs="仿宋_GB2312"/>
                <w:kern w:val="0"/>
                <w:szCs w:val="21"/>
              </w:rPr>
              <w:t>没有</w:t>
            </w:r>
          </w:p>
        </w:tc>
      </w:tr>
      <w:tr>
        <w:tblPrEx>
          <w:tblCellMar>
            <w:top w:w="0" w:type="dxa"/>
            <w:left w:w="108" w:type="dxa"/>
            <w:bottom w:w="0" w:type="dxa"/>
            <w:right w:w="108" w:type="dxa"/>
          </w:tblCellMar>
        </w:tblPrEx>
        <w:trPr>
          <w:trHeight w:val="410"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1.4</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tabs>
                <w:tab w:val="left" w:pos="1425"/>
              </w:tabs>
              <w:jc w:val="center"/>
              <w:rPr>
                <w:rFonts w:ascii="仿宋_GB2312" w:hAnsi="仿宋_GB2312" w:eastAsia="仿宋_GB2312" w:cs="仿宋_GB2312"/>
                <w:b/>
                <w:kern w:val="0"/>
                <w:szCs w:val="21"/>
              </w:rPr>
            </w:pPr>
            <w:r>
              <w:rPr>
                <w:rFonts w:hint="eastAsia" w:ascii="仿宋_GB2312" w:hAnsi="仿宋_GB2312" w:eastAsia="仿宋_GB2312" w:cs="仿宋_GB2312"/>
                <w:bCs/>
                <w:kern w:val="0"/>
                <w:szCs w:val="21"/>
              </w:rPr>
              <w:t>是否允许联合体投标</w:t>
            </w:r>
          </w:p>
        </w:tc>
        <w:tc>
          <w:tcPr>
            <w:tcW w:w="588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kern w:val="0"/>
                <w:szCs w:val="21"/>
              </w:rPr>
            </w:pPr>
            <w:r>
              <w:rPr>
                <w:rFonts w:hint="eastAsia" w:ascii="仿宋_GB2312" w:hAnsi="仿宋_GB2312" w:eastAsia="仿宋_GB2312" w:cs="仿宋_GB2312"/>
                <w:kern w:val="0"/>
                <w:szCs w:val="21"/>
              </w:rPr>
              <w:t>否</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1.4.8</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tabs>
                <w:tab w:val="left" w:pos="1425"/>
              </w:tabs>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联合体投标的其他资格要求</w:t>
            </w:r>
          </w:p>
        </w:tc>
        <w:tc>
          <w:tcPr>
            <w:tcW w:w="588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Cs/>
                <w:kern w:val="0"/>
                <w:szCs w:val="21"/>
              </w:rPr>
            </w:pPr>
          </w:p>
        </w:tc>
      </w:tr>
      <w:tr>
        <w:tblPrEx>
          <w:tblCellMar>
            <w:top w:w="0" w:type="dxa"/>
            <w:left w:w="108" w:type="dxa"/>
            <w:bottom w:w="0" w:type="dxa"/>
            <w:right w:w="108" w:type="dxa"/>
          </w:tblCellMar>
        </w:tblPrEx>
        <w:trPr>
          <w:trHeight w:val="942"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2.2</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jc w:val="center"/>
              <w:rPr>
                <w:rFonts w:ascii="仿宋_GB2312" w:hAnsi="仿宋_GB2312" w:eastAsia="仿宋_GB2312" w:cs="仿宋_GB2312"/>
                <w:bCs/>
                <w:kern w:val="0"/>
                <w:szCs w:val="21"/>
              </w:rPr>
            </w:pPr>
            <w:r>
              <w:rPr>
                <w:rFonts w:hint="eastAsia" w:ascii="仿宋_GB2312" w:hAnsi="仿宋_GB2312" w:eastAsia="仿宋_GB2312" w:cs="仿宋_GB2312"/>
                <w:kern w:val="0"/>
                <w:szCs w:val="21"/>
              </w:rPr>
              <w:t>项目预算金额、最高限价</w:t>
            </w:r>
          </w:p>
        </w:tc>
        <w:tc>
          <w:tcPr>
            <w:tcW w:w="58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hint="default" w:ascii="仿宋_GB2312" w:hAnsi="仿宋_GB2312" w:eastAsia="仿宋_GB2312" w:cs="仿宋_GB2312"/>
                <w:sz w:val="21"/>
                <w:szCs w:val="21"/>
                <w:lang w:val="en-US"/>
              </w:rPr>
            </w:pPr>
            <w:r>
              <w:rPr>
                <w:rFonts w:hint="eastAsia" w:ascii="仿宋_GB2312" w:hAnsi="仿宋_GB2312" w:eastAsia="仿宋_GB2312" w:cs="仿宋_GB2312"/>
                <w:kern w:val="0"/>
                <w:szCs w:val="21"/>
              </w:rPr>
              <w:t>预算金额</w:t>
            </w:r>
            <w:r>
              <w:rPr>
                <w:rFonts w:hint="eastAsia" w:ascii="仿宋_GB2312" w:hAnsi="仿宋_GB2312" w:eastAsia="仿宋_GB2312" w:cs="仿宋_GB2312"/>
                <w:kern w:val="0"/>
                <w:szCs w:val="21"/>
                <w:lang w:val="en-US" w:eastAsia="zh-CN"/>
              </w:rPr>
              <w:t>:</w:t>
            </w:r>
            <w:r>
              <w:rPr>
                <w:rFonts w:hint="eastAsia" w:ascii="仿宋_GB2312" w:hAnsi="仿宋_GB2312" w:eastAsia="仿宋_GB2312" w:cs="仿宋_GB2312"/>
                <w:szCs w:val="21"/>
                <w:lang w:val="en-US" w:eastAsia="zh-CN"/>
              </w:rPr>
              <w:t>6056000元</w:t>
            </w:r>
          </w:p>
          <w:p>
            <w:pPr>
              <w:adjustRightInd w:val="0"/>
              <w:snapToGrid w:val="0"/>
              <w:spacing w:line="360" w:lineRule="auto"/>
              <w:rPr>
                <w:rFonts w:ascii="仿宋_GB2312" w:hAnsi="仿宋_GB2312" w:eastAsia="仿宋_GB2312" w:cs="仿宋_GB2312"/>
                <w:bCs/>
                <w:kern w:val="0"/>
                <w:szCs w:val="21"/>
              </w:rPr>
            </w:pPr>
            <w:r>
              <w:rPr>
                <w:rFonts w:hint="eastAsia" w:ascii="仿宋_GB2312" w:hAnsi="仿宋_GB2312" w:eastAsia="仿宋_GB2312" w:cs="仿宋_GB2312"/>
                <w:szCs w:val="21"/>
              </w:rPr>
              <w:t>最高限价：</w:t>
            </w:r>
            <w:r>
              <w:rPr>
                <w:rFonts w:hint="eastAsia" w:ascii="仿宋" w:hAnsi="仿宋" w:eastAsia="仿宋" w:cs="仿宋"/>
                <w:kern w:val="0"/>
                <w:sz w:val="21"/>
                <w:szCs w:val="21"/>
                <w:lang w:val="en-US" w:eastAsia="zh-CN"/>
              </w:rPr>
              <w:t>大米单价：2</w:t>
            </w:r>
            <w:r>
              <w:rPr>
                <w:rFonts w:hint="eastAsia" w:ascii="仿宋" w:hAnsi="仿宋" w:eastAsia="仿宋" w:cs="仿宋"/>
                <w:sz w:val="21"/>
                <w:szCs w:val="21"/>
                <w:lang w:val="en-US" w:eastAsia="zh-CN"/>
              </w:rPr>
              <w:t>.</w:t>
            </w:r>
            <w:r>
              <w:rPr>
                <w:rFonts w:hint="eastAsia" w:ascii="仿宋" w:hAnsi="仿宋" w:cs="仿宋"/>
                <w:sz w:val="21"/>
                <w:szCs w:val="21"/>
                <w:lang w:val="en-US" w:eastAsia="zh-CN"/>
              </w:rPr>
              <w:t>6</w:t>
            </w:r>
            <w:r>
              <w:rPr>
                <w:rFonts w:hint="eastAsia" w:ascii="仿宋" w:hAnsi="仿宋" w:eastAsia="仿宋" w:cs="仿宋"/>
                <w:sz w:val="21"/>
                <w:szCs w:val="21"/>
              </w:rPr>
              <w:t>元/斤</w:t>
            </w:r>
            <w:r>
              <w:rPr>
                <w:rFonts w:hint="eastAsia" w:ascii="仿宋" w:hAnsi="仿宋" w:eastAsia="仿宋" w:cs="仿宋"/>
                <w:sz w:val="21"/>
                <w:szCs w:val="21"/>
                <w:lang w:eastAsia="zh-CN"/>
              </w:rPr>
              <w:t>；大豆</w:t>
            </w:r>
            <w:r>
              <w:rPr>
                <w:rFonts w:hint="eastAsia" w:ascii="仿宋" w:hAnsi="仿宋" w:eastAsia="仿宋" w:cs="仿宋"/>
                <w:sz w:val="21"/>
                <w:szCs w:val="21"/>
              </w:rPr>
              <w:t>油</w:t>
            </w:r>
            <w:r>
              <w:rPr>
                <w:rFonts w:hint="eastAsia" w:ascii="仿宋" w:hAnsi="仿宋" w:eastAsia="仿宋" w:cs="仿宋"/>
                <w:sz w:val="21"/>
                <w:szCs w:val="21"/>
                <w:lang w:eastAsia="zh-CN"/>
              </w:rPr>
              <w:t>单价：</w:t>
            </w:r>
            <w:r>
              <w:rPr>
                <w:rFonts w:hint="eastAsia" w:ascii="仿宋" w:hAnsi="仿宋" w:eastAsia="仿宋" w:cs="仿宋"/>
                <w:sz w:val="21"/>
                <w:szCs w:val="21"/>
                <w:lang w:val="en-US" w:eastAsia="zh-CN"/>
              </w:rPr>
              <w:t>1</w:t>
            </w:r>
            <w:r>
              <w:rPr>
                <w:rFonts w:hint="eastAsia" w:ascii="仿宋" w:hAnsi="仿宋" w:cs="仿宋"/>
                <w:sz w:val="21"/>
                <w:szCs w:val="21"/>
                <w:lang w:val="en-US" w:eastAsia="zh-CN"/>
              </w:rPr>
              <w:t>4</w:t>
            </w:r>
            <w:r>
              <w:rPr>
                <w:rFonts w:hint="eastAsia" w:ascii="仿宋" w:hAnsi="仿宋" w:eastAsia="仿宋" w:cs="仿宋"/>
                <w:sz w:val="21"/>
                <w:szCs w:val="21"/>
              </w:rPr>
              <w:t>元/</w:t>
            </w:r>
            <w:r>
              <w:rPr>
                <w:rFonts w:hint="eastAsia" w:ascii="仿宋" w:hAnsi="仿宋" w:eastAsia="仿宋" w:cs="仿宋"/>
                <w:sz w:val="21"/>
                <w:szCs w:val="21"/>
                <w:lang w:val="en-US" w:eastAsia="zh-CN"/>
              </w:rPr>
              <w:t>L；</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tabs>
                <w:tab w:val="left" w:pos="1425"/>
              </w:tabs>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计量单位</w:t>
            </w:r>
          </w:p>
        </w:tc>
        <w:tc>
          <w:tcPr>
            <w:tcW w:w="588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中华人民共和国法定计量单位</w:t>
            </w:r>
          </w:p>
        </w:tc>
      </w:tr>
      <w:tr>
        <w:tblPrEx>
          <w:tblCellMar>
            <w:top w:w="0" w:type="dxa"/>
            <w:left w:w="108" w:type="dxa"/>
            <w:bottom w:w="0" w:type="dxa"/>
            <w:right w:w="108" w:type="dxa"/>
          </w:tblCellMar>
        </w:tblPrEx>
        <w:trPr>
          <w:trHeight w:val="843"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6.1</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jc w:val="center"/>
              <w:rPr>
                <w:rFonts w:ascii="仿宋_GB2312" w:hAnsi="仿宋_GB2312" w:eastAsia="仿宋_GB2312" w:cs="仿宋_GB2312"/>
                <w:szCs w:val="21"/>
              </w:rPr>
            </w:pPr>
            <w:r>
              <w:rPr>
                <w:rFonts w:hint="eastAsia" w:ascii="仿宋_GB2312" w:hAnsi="仿宋_GB2312" w:eastAsia="仿宋_GB2312" w:cs="仿宋_GB2312"/>
                <w:kern w:val="0"/>
                <w:szCs w:val="21"/>
              </w:rPr>
              <w:t>现场考察、开标前答疑会</w:t>
            </w:r>
          </w:p>
        </w:tc>
        <w:tc>
          <w:tcPr>
            <w:tcW w:w="588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kern w:val="0"/>
                <w:szCs w:val="21"/>
              </w:rPr>
            </w:pPr>
            <w:r>
              <w:rPr>
                <w:rFonts w:hint="eastAsia" w:ascii="仿宋_GB2312" w:hAnsi="仿宋_GB2312" w:eastAsia="仿宋_GB2312" w:cs="仿宋_GB2312"/>
                <w:kern w:val="0"/>
                <w:szCs w:val="21"/>
              </w:rPr>
              <w:t>不组织</w:t>
            </w:r>
          </w:p>
          <w:p>
            <w:pPr>
              <w:rPr>
                <w:rFonts w:ascii="仿宋_GB2312" w:hAnsi="仿宋_GB2312" w:eastAsia="仿宋_GB2312" w:cs="仿宋_GB2312"/>
                <w:kern w:val="0"/>
                <w:szCs w:val="21"/>
              </w:rPr>
            </w:pP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10.3</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核心产品</w:t>
            </w:r>
          </w:p>
        </w:tc>
        <w:tc>
          <w:tcPr>
            <w:tcW w:w="5887" w:type="dxa"/>
            <w:tcBorders>
              <w:top w:val="single" w:color="auto" w:sz="4" w:space="0"/>
              <w:left w:val="single" w:color="auto" w:sz="4" w:space="0"/>
              <w:bottom w:val="single" w:color="auto" w:sz="4" w:space="0"/>
              <w:right w:val="single" w:color="auto" w:sz="4" w:space="0"/>
            </w:tcBorders>
            <w:noWrap w:val="0"/>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（非单一产品采购时，只能设一个核心产品）</w:t>
            </w:r>
          </w:p>
        </w:tc>
      </w:tr>
      <w:tr>
        <w:tblPrEx>
          <w:tblCellMar>
            <w:top w:w="0" w:type="dxa"/>
            <w:left w:w="108" w:type="dxa"/>
            <w:bottom w:w="0" w:type="dxa"/>
            <w:right w:w="108" w:type="dxa"/>
          </w:tblCellMar>
        </w:tblPrEx>
        <w:trPr>
          <w:trHeight w:val="1108"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样品或演示</w:t>
            </w:r>
          </w:p>
        </w:tc>
        <w:tc>
          <w:tcPr>
            <w:tcW w:w="588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kern w:val="0"/>
                <w:szCs w:val="21"/>
              </w:rPr>
            </w:pPr>
            <w:r>
              <w:rPr>
                <w:rFonts w:hint="eastAsia" w:ascii="仿宋_GB2312" w:hAnsi="仿宋_GB2312" w:eastAsia="仿宋_GB2312" w:cs="仿宋_GB2312"/>
                <w:kern w:val="0"/>
                <w:szCs w:val="21"/>
              </w:rPr>
              <w:t>不需要</w:t>
            </w:r>
            <w:r>
              <w:rPr>
                <w:rFonts w:hint="eastAsia" w:ascii="仿宋_GB2312" w:hAnsi="仿宋_GB2312" w:eastAsia="仿宋_GB2312" w:cs="仿宋_GB2312"/>
                <w:bCs/>
                <w:kern w:val="0"/>
                <w:szCs w:val="21"/>
              </w:rPr>
              <w:t>提供样品</w:t>
            </w:r>
          </w:p>
          <w:p>
            <w:pPr>
              <w:rPr>
                <w:rFonts w:ascii="仿宋_GB2312" w:hAnsi="仿宋_GB2312" w:eastAsia="仿宋_GB2312" w:cs="仿宋_GB2312"/>
                <w:kern w:val="0"/>
                <w:szCs w:val="21"/>
              </w:rPr>
            </w:pPr>
            <w:r>
              <w:rPr>
                <w:rFonts w:hint="eastAsia" w:ascii="仿宋_GB2312" w:hAnsi="仿宋_GB2312" w:eastAsia="仿宋_GB2312" w:cs="仿宋_GB2312"/>
                <w:kern w:val="0"/>
                <w:szCs w:val="21"/>
              </w:rPr>
              <w:t>不</w:t>
            </w:r>
            <w:r>
              <w:rPr>
                <w:rFonts w:hint="eastAsia" w:ascii="仿宋_GB2312" w:hAnsi="仿宋_GB2312" w:eastAsia="仿宋_GB2312" w:cs="仿宋_GB2312"/>
                <w:bCs/>
                <w:kern w:val="0"/>
                <w:szCs w:val="21"/>
              </w:rPr>
              <w:t>需要提供演示</w:t>
            </w:r>
          </w:p>
        </w:tc>
      </w:tr>
      <w:tr>
        <w:tblPrEx>
          <w:tblCellMar>
            <w:top w:w="0" w:type="dxa"/>
            <w:left w:w="108" w:type="dxa"/>
            <w:bottom w:w="0" w:type="dxa"/>
            <w:right w:w="108" w:type="dxa"/>
          </w:tblCellMar>
        </w:tblPrEx>
        <w:trPr>
          <w:trHeight w:val="561"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12.1</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投标报价货币要求</w:t>
            </w:r>
          </w:p>
        </w:tc>
        <w:tc>
          <w:tcPr>
            <w:tcW w:w="588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所有投标均按</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u w:val="single"/>
                <w:lang w:eastAsia="zh-CN"/>
              </w:rPr>
              <w:t>人民币</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进行报价。</w:t>
            </w:r>
          </w:p>
        </w:tc>
      </w:tr>
      <w:tr>
        <w:tblPrEx>
          <w:tblCellMar>
            <w:top w:w="0" w:type="dxa"/>
            <w:left w:w="108" w:type="dxa"/>
            <w:bottom w:w="0" w:type="dxa"/>
            <w:right w:w="108" w:type="dxa"/>
          </w:tblCellMar>
        </w:tblPrEx>
        <w:trPr>
          <w:trHeight w:val="3115" w:hRule="atLeast"/>
        </w:trPr>
        <w:tc>
          <w:tcPr>
            <w:tcW w:w="852" w:type="dxa"/>
            <w:tcBorders>
              <w:top w:val="single" w:color="auto" w:sz="4" w:space="0"/>
              <w:left w:val="single" w:color="auto" w:sz="8" w:space="0"/>
              <w:bottom w:val="single" w:color="auto" w:sz="8" w:space="0"/>
              <w:right w:val="single" w:color="auto" w:sz="4" w:space="0"/>
            </w:tcBorders>
            <w:noWrap w:val="0"/>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13.1</w:t>
            </w:r>
          </w:p>
        </w:tc>
        <w:tc>
          <w:tcPr>
            <w:tcW w:w="1917" w:type="dxa"/>
            <w:tcBorders>
              <w:top w:val="single" w:color="auto" w:sz="4" w:space="0"/>
              <w:left w:val="single" w:color="auto" w:sz="4" w:space="0"/>
              <w:bottom w:val="single" w:color="auto" w:sz="8" w:space="0"/>
              <w:right w:val="single" w:color="auto" w:sz="8" w:space="0"/>
            </w:tcBorders>
            <w:noWrap w:val="0"/>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投标保证金</w:t>
            </w:r>
          </w:p>
        </w:tc>
        <w:tc>
          <w:tcPr>
            <w:tcW w:w="5887" w:type="dxa"/>
            <w:tcBorders>
              <w:top w:val="single" w:color="auto" w:sz="4" w:space="0"/>
              <w:left w:val="nil"/>
              <w:bottom w:val="single" w:color="auto" w:sz="8" w:space="0"/>
              <w:right w:val="single" w:color="auto" w:sz="8" w:space="0"/>
            </w:tcBorders>
            <w:noWrap w:val="0"/>
            <w:vAlign w:val="center"/>
          </w:tcPr>
          <w:p>
            <w:pP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投标保证金金额：人民币</w:t>
            </w:r>
            <w:r>
              <w:rPr>
                <w:rFonts w:hint="eastAsia" w:ascii="仿宋_GB2312" w:hAnsi="仿宋_GB2312" w:eastAsia="仿宋_GB2312" w:cs="仿宋_GB2312"/>
                <w:kern w:val="0"/>
                <w:szCs w:val="21"/>
                <w:lang w:val="en-US" w:eastAsia="zh-CN"/>
              </w:rPr>
              <w:t>100000</w:t>
            </w:r>
            <w:r>
              <w:rPr>
                <w:rFonts w:hint="eastAsia" w:ascii="仿宋_GB2312" w:hAnsi="仿宋_GB2312" w:eastAsia="仿宋_GB2312" w:cs="仿宋_GB2312"/>
                <w:kern w:val="0"/>
                <w:szCs w:val="21"/>
              </w:rPr>
              <w:t>元</w:t>
            </w:r>
          </w:p>
          <w:p>
            <w:pP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2、投标保证金到账时间：递交投标文件截止时间前 </w:t>
            </w:r>
          </w:p>
          <w:p>
            <w:pP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3、投标保证金缴纳方式：</w:t>
            </w:r>
            <w:r>
              <w:rPr>
                <w:rFonts w:hint="eastAsia" w:ascii="仿宋_GB2312" w:hAnsi="仿宋_GB2312" w:eastAsia="仿宋_GB2312" w:cs="仿宋_GB2312"/>
                <w:kern w:val="0"/>
                <w:szCs w:val="21"/>
                <w:lang w:val="en-US" w:eastAsia="zh-CN"/>
              </w:rPr>
              <w:sym w:font="Wingdings 2" w:char="0052"/>
            </w:r>
            <w:r>
              <w:rPr>
                <w:rFonts w:hint="eastAsia" w:ascii="仿宋_GB2312" w:hAnsi="仿宋_GB2312" w:eastAsia="仿宋_GB2312" w:cs="仿宋_GB2312"/>
                <w:kern w:val="0"/>
                <w:szCs w:val="21"/>
                <w:lang w:val="en-US" w:eastAsia="zh-CN"/>
              </w:rPr>
              <w:t>保函   □支票  ☑电汇  □其他</w:t>
            </w:r>
          </w:p>
          <w:p>
            <w:pP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 保证金收款人银行信息：</w:t>
            </w:r>
          </w:p>
          <w:p>
            <w:pP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开户名：朝阳市公共资源交易中心喀左分中心投标保证金专户</w:t>
            </w:r>
          </w:p>
          <w:p>
            <w:pP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开户行：朝阳银行喀左支行</w:t>
            </w:r>
          </w:p>
          <w:p>
            <w:pPr>
              <w:rPr>
                <w:rFonts w:hint="default" w:ascii="仿宋_GB2312" w:hAnsi="仿宋_GB2312" w:eastAsia="仿宋_GB2312" w:cs="仿宋_GB2312"/>
                <w:kern w:val="0"/>
                <w:szCs w:val="21"/>
                <w:lang w:val="en-US"/>
              </w:rPr>
            </w:pPr>
            <w:r>
              <w:rPr>
                <w:rFonts w:hint="eastAsia" w:ascii="仿宋_GB2312" w:hAnsi="仿宋_GB2312" w:eastAsia="仿宋_GB2312" w:cs="仿宋_GB2312"/>
                <w:kern w:val="0"/>
                <w:szCs w:val="21"/>
              </w:rPr>
              <w:t xml:space="preserve">账    号：9200008000000269504 </w:t>
            </w:r>
            <w:r>
              <w:rPr>
                <w:rFonts w:hint="eastAsia" w:ascii="仿宋_GB2312" w:hAnsi="仿宋_GB2312" w:eastAsia="仿宋_GB2312" w:cs="仿宋_GB2312"/>
                <w:kern w:val="0"/>
                <w:szCs w:val="21"/>
                <w:lang w:val="en-US" w:eastAsia="zh-CN"/>
              </w:rPr>
              <w:t xml:space="preserve">               </w:t>
            </w:r>
          </w:p>
          <w:p>
            <w:pP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4、保证金退还方式：电汇</w:t>
            </w:r>
          </w:p>
          <w:p>
            <w:pP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5、保证金退还咨询电话：0421-4885004</w:t>
            </w:r>
          </w:p>
          <w:p>
            <w:pP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6、其它：缴纳保证金应注明项目名称：</w:t>
            </w:r>
            <w:r>
              <w:rPr>
                <w:rFonts w:hint="eastAsia" w:ascii="仿宋_GB2312" w:hAnsi="仿宋_GB2312" w:eastAsia="仿宋_GB2312" w:cs="仿宋_GB2312"/>
                <w:kern w:val="0"/>
                <w:szCs w:val="21"/>
                <w:lang w:val="en-US" w:eastAsia="zh-CN"/>
              </w:rPr>
              <w:t>XX</w:t>
            </w:r>
            <w:r>
              <w:rPr>
                <w:rFonts w:hint="eastAsia" w:ascii="仿宋_GB2312" w:hAnsi="仿宋_GB2312" w:eastAsia="仿宋_GB2312" w:cs="仿宋_GB2312"/>
                <w:kern w:val="0"/>
                <w:szCs w:val="21"/>
              </w:rPr>
              <w:t>项目，保证金缴纳凭证应附到</w:t>
            </w:r>
            <w:r>
              <w:rPr>
                <w:rFonts w:hint="eastAsia" w:ascii="仿宋_GB2312" w:hAnsi="仿宋_GB2312" w:eastAsia="仿宋_GB2312" w:cs="仿宋_GB2312"/>
                <w:kern w:val="0"/>
                <w:szCs w:val="21"/>
                <w:lang w:eastAsia="zh-CN"/>
              </w:rPr>
              <w:t>投标</w:t>
            </w:r>
            <w:r>
              <w:rPr>
                <w:rFonts w:hint="eastAsia" w:ascii="仿宋_GB2312" w:hAnsi="仿宋_GB2312" w:eastAsia="仿宋_GB2312" w:cs="仿宋_GB2312"/>
                <w:kern w:val="0"/>
                <w:szCs w:val="21"/>
              </w:rPr>
              <w:t>文件中</w:t>
            </w:r>
          </w:p>
          <w:p>
            <w:pP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r>
              <w:rPr>
                <w:rFonts w:hint="eastAsia" w:ascii="仿宋_GB2312" w:hAnsi="仿宋_GB2312" w:eastAsia="仿宋_GB2312" w:cs="仿宋_GB2312"/>
                <w:b/>
                <w:bCs/>
                <w:kern w:val="0"/>
                <w:szCs w:val="21"/>
              </w:rPr>
              <w:t>注：财政部门鼓励采用保函的方式递交询价保证金，具体办理流程参阅辽宁政府采购网</w:t>
            </w:r>
            <w:r>
              <w:rPr>
                <w:rFonts w:hint="eastAsia" w:ascii="仿宋_GB2312" w:hAnsi="仿宋_GB2312" w:eastAsia="仿宋_GB2312" w:cs="仿宋_GB2312"/>
                <w:kern w:val="0"/>
                <w:szCs w:val="21"/>
              </w:rPr>
              <w:t>）</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8" w:space="0"/>
              <w:bottom w:val="single" w:color="auto" w:sz="8" w:space="0"/>
              <w:right w:val="single" w:color="auto" w:sz="4" w:space="0"/>
            </w:tcBorders>
            <w:noWrap w:val="0"/>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15.1</w:t>
            </w:r>
          </w:p>
        </w:tc>
        <w:tc>
          <w:tcPr>
            <w:tcW w:w="1917" w:type="dxa"/>
            <w:tcBorders>
              <w:top w:val="single" w:color="auto" w:sz="4" w:space="0"/>
              <w:left w:val="single" w:color="auto" w:sz="4" w:space="0"/>
              <w:bottom w:val="single" w:color="auto" w:sz="8" w:space="0"/>
              <w:right w:val="single" w:color="auto" w:sz="8" w:space="0"/>
            </w:tcBorders>
            <w:noWrap w:val="0"/>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投标有效期</w:t>
            </w:r>
          </w:p>
        </w:tc>
        <w:tc>
          <w:tcPr>
            <w:tcW w:w="5887" w:type="dxa"/>
            <w:tcBorders>
              <w:top w:val="single" w:color="auto" w:sz="4" w:space="0"/>
              <w:left w:val="nil"/>
              <w:bottom w:val="single" w:color="auto" w:sz="8" w:space="0"/>
              <w:right w:val="single" w:color="auto" w:sz="8" w:space="0"/>
            </w:tcBorders>
            <w:noWrap w:val="0"/>
            <w:vAlign w:val="center"/>
          </w:tcPr>
          <w:p>
            <w:pPr>
              <w:pStyle w:val="7"/>
              <w:rPr>
                <w:rFonts w:ascii="仿宋_GB2312" w:hAnsi="仿宋_GB2312" w:eastAsia="仿宋_GB2312" w:cs="仿宋_GB2312"/>
                <w:kern w:val="0"/>
                <w:szCs w:val="21"/>
              </w:rPr>
            </w:pPr>
            <w:r>
              <w:rPr>
                <w:rFonts w:hint="eastAsia" w:ascii="仿宋_GB2312" w:hAnsi="仿宋_GB2312" w:eastAsia="仿宋_GB2312" w:cs="仿宋_GB2312"/>
                <w:kern w:val="0"/>
                <w:szCs w:val="21"/>
                <w:u w:val="single"/>
              </w:rPr>
              <w:t xml:space="preserve">  90  </w:t>
            </w:r>
            <w:r>
              <w:rPr>
                <w:rFonts w:hint="eastAsia" w:ascii="仿宋_GB2312" w:hAnsi="仿宋_GB2312" w:eastAsia="仿宋_GB2312" w:cs="仿宋_GB2312"/>
                <w:kern w:val="0"/>
                <w:szCs w:val="21"/>
              </w:rPr>
              <w:t>日历日</w:t>
            </w:r>
          </w:p>
        </w:tc>
      </w:tr>
      <w:tr>
        <w:tblPrEx>
          <w:tblCellMar>
            <w:top w:w="0" w:type="dxa"/>
            <w:left w:w="108" w:type="dxa"/>
            <w:bottom w:w="0" w:type="dxa"/>
            <w:right w:w="108" w:type="dxa"/>
          </w:tblCellMar>
        </w:tblPrEx>
        <w:trPr>
          <w:trHeight w:val="641" w:hRule="atLeast"/>
        </w:trPr>
        <w:tc>
          <w:tcPr>
            <w:tcW w:w="852" w:type="dxa"/>
            <w:tcBorders>
              <w:top w:val="nil"/>
              <w:left w:val="single" w:color="auto" w:sz="8"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16.1</w:t>
            </w:r>
          </w:p>
        </w:tc>
        <w:tc>
          <w:tcPr>
            <w:tcW w:w="1917" w:type="dxa"/>
            <w:tcBorders>
              <w:top w:val="nil"/>
              <w:left w:val="single" w:color="auto" w:sz="4" w:space="0"/>
              <w:bottom w:val="single" w:color="auto" w:sz="4" w:space="0"/>
              <w:right w:val="single" w:color="auto" w:sz="8" w:space="0"/>
            </w:tcBorders>
            <w:noWrap w:val="0"/>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szCs w:val="21"/>
              </w:rPr>
              <w:t>投标文件及电子文档份数</w:t>
            </w:r>
          </w:p>
        </w:tc>
        <w:tc>
          <w:tcPr>
            <w:tcW w:w="5887" w:type="dxa"/>
            <w:tcBorders>
              <w:top w:val="nil"/>
              <w:left w:val="nil"/>
              <w:bottom w:val="single" w:color="auto" w:sz="4" w:space="0"/>
              <w:right w:val="single" w:color="auto" w:sz="8" w:space="0"/>
            </w:tcBorders>
            <w:noWrap w:val="0"/>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szCs w:val="21"/>
              </w:rPr>
              <w:t>正本</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lang w:val="en-US" w:eastAsia="zh-CN"/>
              </w:rPr>
              <w:t>1</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份,副本</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lang w:val="en-US" w:eastAsia="zh-CN"/>
              </w:rPr>
              <w:t>4</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份</w:t>
            </w:r>
          </w:p>
        </w:tc>
      </w:tr>
      <w:tr>
        <w:tblPrEx>
          <w:tblCellMar>
            <w:top w:w="0" w:type="dxa"/>
            <w:left w:w="108" w:type="dxa"/>
            <w:bottom w:w="0" w:type="dxa"/>
            <w:right w:w="108" w:type="dxa"/>
          </w:tblCellMar>
        </w:tblPrEx>
        <w:trPr>
          <w:trHeight w:val="631" w:hRule="atLeast"/>
        </w:trPr>
        <w:tc>
          <w:tcPr>
            <w:tcW w:w="852" w:type="dxa"/>
            <w:tcBorders>
              <w:top w:val="nil"/>
              <w:left w:val="single" w:color="auto" w:sz="8"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18.1</w:t>
            </w:r>
          </w:p>
        </w:tc>
        <w:tc>
          <w:tcPr>
            <w:tcW w:w="1917" w:type="dxa"/>
            <w:tcBorders>
              <w:top w:val="nil"/>
              <w:left w:val="single" w:color="auto" w:sz="4" w:space="0"/>
              <w:bottom w:val="single" w:color="auto" w:sz="4" w:space="0"/>
              <w:right w:val="single" w:color="auto" w:sz="8" w:space="0"/>
            </w:tcBorders>
            <w:noWrap w:val="0"/>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递交投标文件截止时间、地点</w:t>
            </w:r>
          </w:p>
        </w:tc>
        <w:tc>
          <w:tcPr>
            <w:tcW w:w="5887" w:type="dxa"/>
            <w:tcBorders>
              <w:top w:val="nil"/>
              <w:left w:val="nil"/>
              <w:bottom w:val="single" w:color="auto" w:sz="4" w:space="0"/>
              <w:right w:val="single" w:color="auto" w:sz="8" w:space="0"/>
            </w:tcBorders>
            <w:noWrap w:val="0"/>
            <w:vAlign w:val="center"/>
          </w:tcPr>
          <w:p>
            <w:pPr>
              <w:widowControl/>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详见采购公告，以采购公告规定时间、地点为准。</w:t>
            </w:r>
          </w:p>
        </w:tc>
      </w:tr>
      <w:tr>
        <w:tblPrEx>
          <w:tblCellMar>
            <w:top w:w="0" w:type="dxa"/>
            <w:left w:w="108" w:type="dxa"/>
            <w:bottom w:w="0" w:type="dxa"/>
            <w:right w:w="108" w:type="dxa"/>
          </w:tblCellMar>
        </w:tblPrEx>
        <w:trPr>
          <w:trHeight w:val="613" w:hRule="atLeast"/>
        </w:trPr>
        <w:tc>
          <w:tcPr>
            <w:tcW w:w="852" w:type="dxa"/>
            <w:tcBorders>
              <w:top w:val="nil"/>
              <w:left w:val="single" w:color="auto" w:sz="8"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20.1</w:t>
            </w:r>
          </w:p>
        </w:tc>
        <w:tc>
          <w:tcPr>
            <w:tcW w:w="1917" w:type="dxa"/>
            <w:tcBorders>
              <w:top w:val="nil"/>
              <w:left w:val="single" w:color="auto" w:sz="4" w:space="0"/>
              <w:bottom w:val="single" w:color="auto" w:sz="4" w:space="0"/>
              <w:right w:val="single" w:color="auto" w:sz="8" w:space="0"/>
            </w:tcBorders>
            <w:noWrap w:val="0"/>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开标时间、地点</w:t>
            </w:r>
          </w:p>
        </w:tc>
        <w:tc>
          <w:tcPr>
            <w:tcW w:w="5887" w:type="dxa"/>
            <w:tcBorders>
              <w:top w:val="nil"/>
              <w:left w:val="nil"/>
              <w:bottom w:val="single" w:color="auto" w:sz="4" w:space="0"/>
              <w:right w:val="single" w:color="auto" w:sz="8" w:space="0"/>
            </w:tcBorders>
            <w:noWrap w:val="0"/>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详见采购公告，以采购公告规定时间、地点为准。</w:t>
            </w:r>
          </w:p>
        </w:tc>
      </w:tr>
      <w:tr>
        <w:tblPrEx>
          <w:tblCellMar>
            <w:top w:w="0" w:type="dxa"/>
            <w:left w:w="108" w:type="dxa"/>
            <w:bottom w:w="0" w:type="dxa"/>
            <w:right w:w="108" w:type="dxa"/>
          </w:tblCellMar>
        </w:tblPrEx>
        <w:trPr>
          <w:trHeight w:val="613" w:hRule="atLeast"/>
        </w:trPr>
        <w:tc>
          <w:tcPr>
            <w:tcW w:w="852" w:type="dxa"/>
            <w:tcBorders>
              <w:top w:val="nil"/>
              <w:left w:val="single" w:color="auto" w:sz="8"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21</w:t>
            </w:r>
          </w:p>
        </w:tc>
        <w:tc>
          <w:tcPr>
            <w:tcW w:w="1917" w:type="dxa"/>
            <w:tcBorders>
              <w:top w:val="nil"/>
              <w:left w:val="single" w:color="auto" w:sz="4" w:space="0"/>
              <w:bottom w:val="single" w:color="auto" w:sz="4" w:space="0"/>
              <w:right w:val="single" w:color="auto" w:sz="8" w:space="0"/>
            </w:tcBorders>
            <w:noWrap w:val="0"/>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评标委员会组成</w:t>
            </w:r>
          </w:p>
        </w:tc>
        <w:tc>
          <w:tcPr>
            <w:tcW w:w="5887" w:type="dxa"/>
            <w:tcBorders>
              <w:top w:val="nil"/>
              <w:left w:val="nil"/>
              <w:bottom w:val="single" w:color="auto" w:sz="4" w:space="0"/>
              <w:right w:val="single" w:color="auto" w:sz="8" w:space="0"/>
            </w:tcBorders>
            <w:noWrap w:val="0"/>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szCs w:val="21"/>
              </w:rPr>
              <w:t>评标委员会由采购人代表</w:t>
            </w:r>
            <w:r>
              <w:rPr>
                <w:rFonts w:hint="eastAsia" w:ascii="仿宋_GB2312" w:hAnsi="仿宋_GB2312" w:eastAsia="仿宋_GB2312" w:cs="仿宋_GB2312"/>
                <w:szCs w:val="21"/>
                <w:u w:val="single"/>
                <w:lang w:val="en-US" w:eastAsia="zh-CN"/>
              </w:rPr>
              <w:t>0</w:t>
            </w:r>
            <w:r>
              <w:rPr>
                <w:rFonts w:hint="eastAsia" w:ascii="仿宋_GB2312" w:hAnsi="仿宋_GB2312" w:eastAsia="仿宋_GB2312" w:cs="仿宋_GB2312"/>
                <w:szCs w:val="21"/>
              </w:rPr>
              <w:t>人，评审专家</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人组成，共</w:t>
            </w:r>
            <w:r>
              <w:rPr>
                <w:rFonts w:hint="eastAsia" w:ascii="仿宋_GB2312" w:hAnsi="仿宋_GB2312" w:eastAsia="仿宋_GB2312" w:cs="仿宋_GB2312"/>
                <w:szCs w:val="21"/>
                <w:u w:val="single"/>
                <w:lang w:val="en-US" w:eastAsia="zh-CN"/>
              </w:rPr>
              <w:t>5</w:t>
            </w:r>
            <w:r>
              <w:rPr>
                <w:rFonts w:hint="eastAsia" w:ascii="仿宋_GB2312" w:hAnsi="仿宋_GB2312" w:eastAsia="仿宋_GB2312" w:cs="仿宋_GB2312"/>
                <w:szCs w:val="21"/>
              </w:rPr>
              <w:t xml:space="preserve">人。 </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27.2</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评标办法</w:t>
            </w:r>
          </w:p>
        </w:tc>
        <w:tc>
          <w:tcPr>
            <w:tcW w:w="5887" w:type="dxa"/>
            <w:tcBorders>
              <w:top w:val="single" w:color="auto" w:sz="4" w:space="0"/>
              <w:left w:val="single" w:color="auto" w:sz="4" w:space="0"/>
              <w:bottom w:val="single" w:color="auto" w:sz="4" w:space="0"/>
              <w:right w:val="single" w:color="auto" w:sz="4" w:space="0"/>
            </w:tcBorders>
            <w:noWrap w:val="0"/>
            <w:vAlign w:val="center"/>
          </w:tcPr>
          <w:p>
            <w:pPr>
              <w:widowControl/>
              <w:rPr>
                <w:rFonts w:ascii="仿宋_GB2312" w:hAnsi="仿宋_GB2312" w:eastAsia="仿宋_GB2312" w:cs="仿宋_GB2312"/>
                <w:szCs w:val="21"/>
              </w:rPr>
            </w:pPr>
            <w:r>
              <w:rPr>
                <w:rFonts w:hint="eastAsia" w:ascii="仿宋_GB2312" w:hAnsi="仿宋_GB2312" w:eastAsia="仿宋_GB2312" w:cs="仿宋_GB2312"/>
                <w:szCs w:val="21"/>
              </w:rPr>
              <w:t xml:space="preserve">综合评分法 </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29.2</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推荐中标候选人的数量</w:t>
            </w:r>
          </w:p>
        </w:tc>
        <w:tc>
          <w:tcPr>
            <w:tcW w:w="5887" w:type="dxa"/>
            <w:tcBorders>
              <w:top w:val="single" w:color="auto" w:sz="4" w:space="0"/>
              <w:left w:val="single" w:color="auto" w:sz="4" w:space="0"/>
              <w:bottom w:val="single" w:color="auto" w:sz="4" w:space="0"/>
              <w:right w:val="single" w:color="auto" w:sz="4" w:space="0"/>
            </w:tcBorders>
            <w:noWrap w:val="0"/>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u w:val="single"/>
                <w:lang w:val="en-US" w:eastAsia="zh-CN"/>
              </w:rPr>
              <w:t>3</w:t>
            </w:r>
            <w:r>
              <w:rPr>
                <w:rFonts w:hint="eastAsia" w:ascii="仿宋_GB2312" w:hAnsi="仿宋_GB2312" w:eastAsia="仿宋_GB2312" w:cs="仿宋_GB2312"/>
                <w:kern w:val="0"/>
                <w:szCs w:val="21"/>
                <w:u w:val="single"/>
              </w:rPr>
              <w:t xml:space="preserve">         </w:t>
            </w:r>
          </w:p>
        </w:tc>
      </w:tr>
      <w:tr>
        <w:tblPrEx>
          <w:tblCellMar>
            <w:top w:w="0" w:type="dxa"/>
            <w:left w:w="108" w:type="dxa"/>
            <w:bottom w:w="0" w:type="dxa"/>
            <w:right w:w="108" w:type="dxa"/>
          </w:tblCellMar>
        </w:tblPrEx>
        <w:trPr>
          <w:trHeight w:val="942"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31</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确定中标人的方式</w:t>
            </w:r>
          </w:p>
        </w:tc>
        <w:tc>
          <w:tcPr>
            <w:tcW w:w="5887" w:type="dxa"/>
            <w:tcBorders>
              <w:top w:val="single" w:color="auto" w:sz="4" w:space="0"/>
              <w:left w:val="single" w:color="auto" w:sz="4" w:space="0"/>
              <w:bottom w:val="single" w:color="auto" w:sz="4" w:space="0"/>
              <w:right w:val="single" w:color="auto" w:sz="4" w:space="0"/>
            </w:tcBorders>
            <w:noWrap w:val="0"/>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中标人数量：</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u w:val="single"/>
                <w:lang w:val="en-US" w:eastAsia="zh-CN"/>
              </w:rPr>
              <w:t>1</w:t>
            </w:r>
            <w:r>
              <w:rPr>
                <w:rFonts w:hint="eastAsia" w:ascii="仿宋_GB2312" w:hAnsi="仿宋_GB2312" w:eastAsia="仿宋_GB2312" w:cs="仿宋_GB2312"/>
                <w:kern w:val="0"/>
                <w:szCs w:val="21"/>
                <w:u w:val="single"/>
              </w:rPr>
              <w:t xml:space="preserve">    </w:t>
            </w:r>
          </w:p>
          <w:p>
            <w:pPr>
              <w:widowControl/>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采购人委托评标委员会直接确定中标人</w:t>
            </w:r>
          </w:p>
        </w:tc>
      </w:tr>
      <w:tr>
        <w:tblPrEx>
          <w:tblCellMar>
            <w:top w:w="0" w:type="dxa"/>
            <w:left w:w="108" w:type="dxa"/>
            <w:bottom w:w="0" w:type="dxa"/>
            <w:right w:w="108" w:type="dxa"/>
          </w:tblCellMar>
        </w:tblPrEx>
        <w:trPr>
          <w:trHeight w:val="90"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35.1</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jc w:val="center"/>
              <w:rPr>
                <w:rFonts w:ascii="仿宋_GB2312" w:hAnsi="仿宋_GB2312" w:eastAsia="仿宋_GB2312" w:cs="仿宋_GB2312"/>
                <w:kern w:val="0"/>
                <w:szCs w:val="21"/>
              </w:rPr>
            </w:pPr>
            <w:r>
              <w:rPr>
                <w:rFonts w:hint="eastAsia" w:ascii="仿宋_GB2312" w:hAnsi="仿宋_GB2312" w:eastAsia="仿宋_GB2312" w:cs="仿宋_GB2312"/>
                <w:szCs w:val="21"/>
              </w:rPr>
              <w:t>履约保证金</w:t>
            </w:r>
          </w:p>
        </w:tc>
        <w:tc>
          <w:tcPr>
            <w:tcW w:w="5887" w:type="dxa"/>
            <w:tcBorders>
              <w:top w:val="single" w:color="auto" w:sz="4" w:space="0"/>
              <w:left w:val="single" w:color="auto" w:sz="4" w:space="0"/>
              <w:bottom w:val="single" w:color="auto" w:sz="4" w:space="0"/>
              <w:right w:val="single" w:color="auto" w:sz="4" w:space="0"/>
            </w:tcBorders>
            <w:noWrap w:val="0"/>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本项目不收取履约保证金</w:t>
            </w:r>
          </w:p>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本项目收取履约保证金</w:t>
            </w:r>
          </w:p>
          <w:p>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履约保证金金额：人民币</w:t>
            </w:r>
            <w:r>
              <w:rPr>
                <w:rFonts w:hint="eastAsia" w:ascii="仿宋_GB2312" w:hAnsi="仿宋_GB2312" w:eastAsia="仿宋_GB2312" w:cs="仿宋_GB2312"/>
                <w:kern w:val="0"/>
                <w:szCs w:val="21"/>
                <w:lang w:val="en-US" w:eastAsia="zh-CN"/>
              </w:rPr>
              <w:t>50</w:t>
            </w:r>
            <w:r>
              <w:rPr>
                <w:rFonts w:hint="eastAsia" w:ascii="仿宋_GB2312" w:hAnsi="仿宋_GB2312" w:eastAsia="仿宋_GB2312" w:cs="仿宋_GB2312"/>
                <w:kern w:val="0"/>
                <w:szCs w:val="21"/>
              </w:rPr>
              <w:t>万元</w:t>
            </w:r>
          </w:p>
          <w:p>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履约保证金递交时间：中标人签订政府采购合同前</w:t>
            </w:r>
          </w:p>
          <w:p>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履约保证金递交方式：中标人签订政府采购合同前打入招标人指定账户</w:t>
            </w:r>
          </w:p>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履约保证金退还时间：</w:t>
            </w:r>
            <w:r>
              <w:rPr>
                <w:rFonts w:hint="eastAsia" w:ascii="仿宋_GB2312" w:hAnsi="仿宋_GB2312" w:eastAsia="仿宋_GB2312" w:cs="仿宋_GB2312"/>
                <w:kern w:val="0"/>
                <w:szCs w:val="21"/>
                <w:lang w:eastAsia="zh-CN"/>
              </w:rPr>
              <w:t>在签订政府采购合同</w:t>
            </w:r>
            <w:r>
              <w:rPr>
                <w:rFonts w:hint="eastAsia" w:ascii="仿宋" w:hAnsi="仿宋" w:cs="仿宋"/>
                <w:color w:val="auto"/>
                <w:szCs w:val="21"/>
                <w:lang w:eastAsia="zh-CN"/>
              </w:rPr>
              <w:t>中约定</w:t>
            </w:r>
          </w:p>
        </w:tc>
      </w:tr>
      <w:tr>
        <w:tblPrEx>
          <w:tblCellMar>
            <w:top w:w="0" w:type="dxa"/>
            <w:left w:w="108" w:type="dxa"/>
            <w:bottom w:w="0" w:type="dxa"/>
            <w:right w:w="108" w:type="dxa"/>
          </w:tblCellMar>
        </w:tblPrEx>
        <w:trPr>
          <w:trHeight w:val="542" w:hRule="atLeast"/>
        </w:trPr>
        <w:tc>
          <w:tcPr>
            <w:tcW w:w="852" w:type="dxa"/>
            <w:tcBorders>
              <w:top w:val="nil"/>
              <w:left w:val="single" w:color="auto" w:sz="8" w:space="0"/>
              <w:bottom w:val="single" w:color="auto" w:sz="8" w:space="0"/>
              <w:right w:val="single" w:color="auto" w:sz="4" w:space="0"/>
            </w:tcBorders>
            <w:noWrap w:val="0"/>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1917" w:type="dxa"/>
            <w:tcBorders>
              <w:top w:val="nil"/>
              <w:left w:val="single" w:color="auto" w:sz="4" w:space="0"/>
              <w:bottom w:val="single" w:color="auto" w:sz="8" w:space="0"/>
              <w:right w:val="single" w:color="auto" w:sz="8" w:space="0"/>
            </w:tcBorders>
            <w:noWrap w:val="0"/>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采购代理服务费</w:t>
            </w:r>
          </w:p>
        </w:tc>
        <w:tc>
          <w:tcPr>
            <w:tcW w:w="5887" w:type="dxa"/>
            <w:tcBorders>
              <w:top w:val="nil"/>
              <w:left w:val="nil"/>
              <w:bottom w:val="single" w:color="auto" w:sz="8" w:space="0"/>
              <w:right w:val="single" w:color="auto" w:sz="8" w:space="0"/>
            </w:tcBorders>
            <w:noWrap w:val="0"/>
            <w:vAlign w:val="center"/>
          </w:tcPr>
          <w:p>
            <w:pPr>
              <w:shd w:val="clear" w:color="auto" w:fill="FFFFFF"/>
              <w:jc w:val="left"/>
              <w:rPr>
                <w:rFonts w:ascii="仿宋_GB2312" w:hAnsi="仿宋_GB2312" w:eastAsia="仿宋_GB2312" w:cs="仿宋_GB2312"/>
                <w:kern w:val="0"/>
                <w:szCs w:val="21"/>
              </w:rPr>
            </w:pPr>
            <w:r>
              <w:rPr>
                <w:rFonts w:hint="eastAsia" w:ascii="仿宋_GB2312" w:hAnsi="仿宋_GB2312" w:eastAsia="仿宋_GB2312" w:cs="仿宋_GB2312"/>
                <w:szCs w:val="21"/>
              </w:rPr>
              <w:t>本项目不收取</w:t>
            </w:r>
            <w:r>
              <w:rPr>
                <w:rFonts w:hint="eastAsia" w:ascii="仿宋_GB2312" w:hAnsi="仿宋_GB2312" w:eastAsia="仿宋_GB2312" w:cs="仿宋_GB2312"/>
                <w:kern w:val="0"/>
                <w:szCs w:val="21"/>
              </w:rPr>
              <w:t>采购代理服务费</w:t>
            </w:r>
          </w:p>
        </w:tc>
      </w:tr>
      <w:tr>
        <w:tblPrEx>
          <w:tblCellMar>
            <w:top w:w="0" w:type="dxa"/>
            <w:left w:w="108" w:type="dxa"/>
            <w:bottom w:w="0" w:type="dxa"/>
            <w:right w:w="108" w:type="dxa"/>
          </w:tblCellMar>
        </w:tblPrEx>
        <w:trPr>
          <w:trHeight w:val="614" w:hRule="atLeast"/>
        </w:trPr>
        <w:tc>
          <w:tcPr>
            <w:tcW w:w="852" w:type="dxa"/>
            <w:tcBorders>
              <w:top w:val="single" w:color="auto" w:sz="4" w:space="0"/>
              <w:left w:val="single" w:color="auto" w:sz="8" w:space="0"/>
              <w:bottom w:val="single" w:color="auto" w:sz="8" w:space="0"/>
              <w:right w:val="single" w:color="auto" w:sz="4" w:space="0"/>
            </w:tcBorders>
            <w:noWrap w:val="0"/>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39.3</w:t>
            </w:r>
          </w:p>
        </w:tc>
        <w:tc>
          <w:tcPr>
            <w:tcW w:w="1917" w:type="dxa"/>
            <w:tcBorders>
              <w:top w:val="single" w:color="auto" w:sz="4" w:space="0"/>
              <w:left w:val="single" w:color="auto" w:sz="4" w:space="0"/>
              <w:bottom w:val="single" w:color="auto" w:sz="8" w:space="0"/>
              <w:right w:val="single" w:color="auto" w:sz="8" w:space="0"/>
            </w:tcBorders>
            <w:noWrap w:val="0"/>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质疑</w:t>
            </w:r>
          </w:p>
        </w:tc>
        <w:tc>
          <w:tcPr>
            <w:tcW w:w="5887" w:type="dxa"/>
            <w:tcBorders>
              <w:top w:val="single" w:color="auto" w:sz="4" w:space="0"/>
              <w:left w:val="nil"/>
              <w:bottom w:val="single" w:color="auto" w:sz="8" w:space="0"/>
              <w:right w:val="single" w:color="auto" w:sz="8" w:space="0"/>
            </w:tcBorders>
            <w:noWrap w:val="0"/>
            <w:vAlign w:val="center"/>
          </w:tcPr>
          <w:p>
            <w:pPr>
              <w:widowControl/>
              <w:rPr>
                <w:rFonts w:ascii="仿宋_GB2312" w:hAnsi="仿宋_GB2312" w:eastAsia="仿宋_GB2312" w:cs="仿宋_GB2312"/>
                <w:szCs w:val="21"/>
              </w:rPr>
            </w:pPr>
            <w:r>
              <w:rPr>
                <w:rFonts w:hint="eastAsia" w:ascii="仿宋_GB2312" w:hAnsi="仿宋_GB2312" w:eastAsia="仿宋_GB2312" w:cs="仿宋_GB2312"/>
                <w:szCs w:val="21"/>
              </w:rPr>
              <w:t>一、投标人认为自己的权益受到损害的，可以在知道或者应知其权益受到损害之日起七个工作日内，向采购代理机构提出质疑。</w:t>
            </w:r>
          </w:p>
          <w:p>
            <w:pPr>
              <w:widowControl/>
              <w:ind w:firstLine="210" w:firstLineChars="100"/>
              <w:jc w:val="left"/>
              <w:rPr>
                <w:rFonts w:hint="eastAsia" w:ascii="仿宋_GB2312" w:hAnsi="仿宋_GB2312" w:eastAsia="仿宋_GB2312" w:cs="仿宋_GB2312"/>
                <w:kern w:val="0"/>
                <w:szCs w:val="21"/>
              </w:rPr>
            </w:pPr>
            <w:r>
              <w:rPr>
                <w:rFonts w:hint="eastAsia" w:ascii="仿宋_GB2312" w:hAnsi="仿宋_GB2312" w:eastAsia="仿宋_GB2312" w:cs="仿宋_GB2312"/>
                <w:szCs w:val="21"/>
              </w:rPr>
              <w:t>联系单位：</w:t>
            </w:r>
            <w:r>
              <w:rPr>
                <w:rFonts w:hint="eastAsia" w:ascii="仿宋_GB2312" w:hAnsi="仿宋_GB2312" w:eastAsia="仿宋_GB2312" w:cs="仿宋_GB2312"/>
                <w:color w:val="auto"/>
                <w:szCs w:val="21"/>
                <w:lang w:eastAsia="zh-CN"/>
              </w:rPr>
              <w:t>喀左县政府采购中心</w:t>
            </w:r>
          </w:p>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 </w:t>
            </w:r>
            <w:r>
              <w:rPr>
                <w:rFonts w:hint="eastAsia" w:ascii="仿宋_GB2312" w:hAnsi="仿宋_GB2312" w:eastAsia="仿宋_GB2312" w:cs="仿宋_GB2312"/>
                <w:kern w:val="0"/>
                <w:szCs w:val="21"/>
                <w:lang w:val="en-US" w:eastAsia="zh-CN"/>
              </w:rPr>
              <w:t xml:space="preserve"> </w:t>
            </w:r>
            <w:r>
              <w:rPr>
                <w:rFonts w:hint="eastAsia" w:ascii="仿宋_GB2312" w:hAnsi="仿宋_GB2312" w:eastAsia="仿宋_GB2312" w:cs="仿宋_GB2312"/>
                <w:kern w:val="0"/>
                <w:szCs w:val="21"/>
              </w:rPr>
              <w:t>项目联系人：</w:t>
            </w:r>
            <w:r>
              <w:rPr>
                <w:rFonts w:hint="eastAsia" w:ascii="仿宋_GB2312" w:hAnsi="仿宋_GB2312" w:eastAsia="仿宋_GB2312" w:cs="仿宋_GB2312"/>
                <w:kern w:val="0"/>
                <w:szCs w:val="21"/>
                <w:lang w:eastAsia="zh-CN"/>
              </w:rPr>
              <w:t>刘国义</w:t>
            </w:r>
            <w:r>
              <w:rPr>
                <w:rFonts w:hint="eastAsia" w:ascii="仿宋_GB2312" w:hAnsi="仿宋_GB2312" w:eastAsia="仿宋_GB2312" w:cs="仿宋_GB2312"/>
                <w:kern w:val="0"/>
                <w:szCs w:val="21"/>
              </w:rPr>
              <w:t xml:space="preserve">              </w:t>
            </w:r>
          </w:p>
          <w:p>
            <w:pPr>
              <w:widowControl/>
              <w:ind w:firstLine="210" w:firstLineChars="100"/>
              <w:jc w:val="left"/>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联系电话：</w:t>
            </w:r>
            <w:r>
              <w:rPr>
                <w:rFonts w:hint="eastAsia" w:ascii="仿宋_GB2312" w:hAnsi="仿宋_GB2312" w:eastAsia="仿宋_GB2312" w:cs="仿宋_GB2312"/>
                <w:kern w:val="0"/>
                <w:szCs w:val="21"/>
                <w:lang w:val="en-US" w:eastAsia="zh-CN"/>
              </w:rPr>
              <w:t>0421-4885008</w:t>
            </w:r>
          </w:p>
          <w:p>
            <w:pPr>
              <w:widowControl/>
              <w:ind w:firstLine="210" w:firstLineChars="100"/>
              <w:jc w:val="left"/>
              <w:rPr>
                <w:rFonts w:ascii="仿宋_GB2312" w:hAnsi="仿宋_GB2312" w:eastAsia="仿宋_GB2312" w:cs="仿宋_GB2312"/>
                <w:szCs w:val="21"/>
              </w:rPr>
            </w:pPr>
            <w:r>
              <w:rPr>
                <w:rFonts w:hint="eastAsia" w:ascii="仿宋_GB2312" w:hAnsi="仿宋_GB2312" w:eastAsia="仿宋_GB2312" w:cs="仿宋_GB2312"/>
                <w:szCs w:val="21"/>
              </w:rPr>
              <w:t>通讯地址：</w:t>
            </w:r>
            <w:r>
              <w:rPr>
                <w:rFonts w:hint="eastAsia" w:ascii="仿宋_GB2312" w:hAnsi="仿宋_GB2312" w:eastAsia="仿宋_GB2312" w:cs="仿宋_GB2312"/>
                <w:kern w:val="0"/>
                <w:szCs w:val="21"/>
                <w:lang w:eastAsia="zh-CN"/>
              </w:rPr>
              <w:t>喀左县大城子街道青年街</w:t>
            </w:r>
            <w:r>
              <w:rPr>
                <w:rFonts w:hint="eastAsia" w:ascii="仿宋_GB2312" w:hAnsi="仿宋_GB2312" w:eastAsia="仿宋_GB2312" w:cs="仿宋_GB2312"/>
                <w:kern w:val="0"/>
                <w:szCs w:val="21"/>
                <w:lang w:val="en-US" w:eastAsia="zh-CN"/>
              </w:rPr>
              <w:t>71号</w:t>
            </w:r>
          </w:p>
          <w:p>
            <w:pPr>
              <w:widowControl/>
              <w:rPr>
                <w:rFonts w:ascii="仿宋_GB2312" w:hAnsi="仿宋_GB2312" w:eastAsia="仿宋_GB2312" w:cs="仿宋_GB2312"/>
                <w:szCs w:val="21"/>
              </w:rPr>
            </w:pPr>
            <w:r>
              <w:rPr>
                <w:rFonts w:hint="eastAsia" w:ascii="仿宋_GB2312" w:hAnsi="仿宋_GB2312" w:eastAsia="仿宋_GB2312" w:cs="仿宋_GB2312"/>
                <w:szCs w:val="21"/>
              </w:rPr>
              <w:t>2、质疑函的内容、格式：应符合《政府采购质疑和投诉办法》相关规定和财政部门制定的《政府采购质疑函范本》格式。</w:t>
            </w:r>
          </w:p>
          <w:p>
            <w:pPr>
              <w:pStyle w:val="7"/>
              <w:rPr>
                <w:rFonts w:ascii="仿宋_GB2312" w:hAnsi="仿宋_GB2312" w:eastAsia="仿宋_GB2312" w:cs="仿宋_GB2312"/>
                <w:kern w:val="0"/>
                <w:szCs w:val="21"/>
              </w:rPr>
            </w:pPr>
            <w:r>
              <w:rPr>
                <w:rFonts w:hint="eastAsia" w:ascii="仿宋_GB2312" w:hAnsi="仿宋_GB2312" w:eastAsia="仿宋_GB2312" w:cs="仿宋_GB2312"/>
                <w:szCs w:val="21"/>
              </w:rPr>
              <w:t>二、投标人应在法定质疑期内一次性针对同一采购程序环节提出质疑，否则针对再次提出质疑将不予接收。（采购程序环节分为：采购公告、招标文件、招标过程、中标结果）</w:t>
            </w:r>
          </w:p>
        </w:tc>
      </w:tr>
    </w:tbl>
    <w:p>
      <w:pPr>
        <w:rPr>
          <w:rFonts w:ascii="仿宋_GB2312" w:hAnsi="仿宋_GB2312" w:eastAsia="仿宋_GB2312" w:cs="仿宋_GB2312"/>
        </w:rPr>
      </w:pPr>
      <w:r>
        <w:rPr>
          <w:rFonts w:hint="eastAsia" w:ascii="仿宋_GB2312" w:hAnsi="仿宋_GB2312" w:eastAsia="仿宋_GB2312" w:cs="仿宋_GB2312"/>
        </w:rPr>
        <w:t>。</w:t>
      </w:r>
    </w:p>
    <w:p>
      <w:pPr>
        <w:pStyle w:val="4"/>
        <w:adjustRightInd w:val="0"/>
        <w:snapToGrid w:val="0"/>
        <w:spacing w:before="0" w:after="0" w:line="360" w:lineRule="auto"/>
        <w:jc w:val="both"/>
        <w:rPr>
          <w:rFonts w:ascii="仿宋_GB2312" w:hAnsi="仿宋_GB2312" w:eastAsia="仿宋_GB2312" w:cs="仿宋_GB2312"/>
          <w:sz w:val="32"/>
          <w:szCs w:val="36"/>
        </w:rPr>
      </w:pPr>
      <w:r>
        <w:rPr>
          <w:rFonts w:hint="eastAsia" w:ascii="仿宋_GB2312" w:hAnsi="仿宋_GB2312" w:eastAsia="仿宋_GB2312" w:cs="仿宋_GB2312"/>
          <w:sz w:val="21"/>
          <w:szCs w:val="21"/>
        </w:rPr>
        <w:br w:type="page"/>
      </w:r>
      <w:bookmarkStart w:id="36" w:name="_Toc30384_WPSOffice_Level2"/>
      <w:r>
        <w:rPr>
          <w:rFonts w:hint="eastAsia" w:ascii="仿宋_GB2312" w:hAnsi="仿宋_GB2312" w:eastAsia="仿宋_GB2312" w:cs="仿宋_GB2312"/>
          <w:sz w:val="32"/>
          <w:szCs w:val="36"/>
        </w:rPr>
        <w:t>二 总则</w:t>
      </w:r>
      <w:bookmarkEnd w:id="36"/>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1.采购人、采购代理机构及投标人</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1.1采购人：是指依法进行政府采购的国家机关、事业单位、团体组织。本项目采购人见投标人须知表1.1款。</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1.2采购代理机构：是指集中采购机构或从事采购代理业务的社会中介机构，本项目的采购代理机构见投标人须知表1.2款。</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★1.3投标人：是指向采购人提供货物、工程或者服务的法人、非法人组织或者自然人。本项目的投标人及其投标货物须满足以下条件：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1.3.1在中华人民共和国境内注册，能够独立承担民事责任，有生产或供应能力的本国供应商。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1.3.2符合《中华人民共和国政府采购法》第二十二条关于供应商条件的规定，遵守本项目采购人本级和上级财政部门关于政府采购的有关规定。</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1.3.3以采购代理机构认可的方式获得了本项目的招标文件。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1.3.4符合投标人须知表1.3.4款中规定的资格条件。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若投标人须知表1.3.5款中写明允许采购进口产品（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投标人应保证所投进口产品可履行合法报通关手续进入中国关境内，但不限制满足招标文件要求的国内产品参与投标。</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若投标人须知表1.3.5款中未写明允许采购进口产品，如投标人所投产品为进口产品，其投标将被认定为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1.3.6若投标人须知表1.3.6款中写明专门面向中小企业采购的，如投标人为非中小企业且所投产品为非中小企业产品，其投标将被认定为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1.3.7若投标人须知表1.3.7款中写明采购的产品为财政部、发展改革委、生态环境部等部门发布的品目清单中属于实施政府强制采购品目清单范围的节能产品，如投标人所投产品不具备依据国家确定的认证机构出具的、处于有效期之内的节能产品认证证书，其投标将被认定为投标无效。</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1.3.8若投标人须知表1.3.8款中写明要求采购列入《辽宁省创新产品和服务目录》内产品及伴随服务，且该要求在第四章 评标办法 附表2 符合性审查表中列为符合性审查内容的。如投标人所投产品及伴随服务为非《辽宁省创新产品和服务目录》产品、服务，其投标将被认定为投标无效。</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★1.4如投标人须知表1.4款中允许联合体投标，对联合体规定如下：</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1.4.1两个以上供应商可以组成一个投标联合体，以一个投标人的身份投标。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1.4.2联合体各方均应符合《中华人民共和国政府采购法》第二十二条规定的条件。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1.4.3采购人根据采购项目对投标人的特殊要求，联合体中至少应当有一方符合相关规定。</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1.4.4联合体各方应签订共同投标协议，明确约定联合体各方承担的工作和相应的责任。</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1.4.5大中型企业、其他自然人、法人或者非法人组织与小型、微型企业组成联合体共同参加投标，共同投标协议中应写明小型、微型企业的协议合同金额占到共同投标协议投标总金额的比例。</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1.4.6联合体中有同类资质的供应商按照联合体分工承担相同工作的，按照较低的资质等级确定联合体的资质等级。</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1.4.7以联合体形式参加政府采购活动的，联合体各方不得再单独参加或者与其他供应商另外组成联合体参加本项目投标，否则相关投标将被认定为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（1）两个以上的自然人、法人或者其他组织可以组成一个联合体，以一个投标人的身份共同参加政府采购活动。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（2）联合体中标的，联合体各方应共同与采购人签订采购合同，就采购合同约定的事项对采购人承担连带责任。</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1.4.8对联合体投标的其他资格要求见投标人须知表1.4.8款。</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★1.5单位负责人为同一人或者存在直接控股、管理关系的不同供应商，其相关投标将被认定为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★1.6为本项目提供过整体设计、规范编制或者项目管理、监理、检测等服务的供应商，不得再参加本项目上述服务以外的其他采购活动，否则其投标将被认定为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★1.7投标人在投标过程中不得向采购人提供、给予任何有价值的物品，影响其正常决策行为。一经发现，其将被认定为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2.资金来源</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2.1本项目的采购人已获得足以支付本次招标后所签订的合同项下的资金（包括财政性资金和本项目采购中无法与财政性资金分割的非财政性资金）。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b/>
          <w:bCs/>
          <w:szCs w:val="21"/>
        </w:rPr>
        <w:t>★</w:t>
      </w:r>
      <w:r>
        <w:rPr>
          <w:rFonts w:hint="eastAsia" w:ascii="仿宋_GB2312" w:hAnsi="仿宋_GB2312" w:eastAsia="仿宋_GB2312" w:cs="仿宋_GB2312"/>
          <w:szCs w:val="21"/>
        </w:rPr>
        <w:t>2.2项目预算金额和分项或分包最高限价见投标人须知表2.2款。</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b/>
          <w:bCs/>
          <w:szCs w:val="21"/>
        </w:rPr>
        <w:t>★</w:t>
      </w:r>
      <w:r>
        <w:rPr>
          <w:rFonts w:hint="eastAsia" w:ascii="仿宋_GB2312" w:hAnsi="仿宋_GB2312" w:eastAsia="仿宋_GB2312" w:cs="仿宋_GB2312"/>
          <w:szCs w:val="21"/>
        </w:rPr>
        <w:t>2.3投标人报价超过招标文件规定的预算金额或者分项、分包最高限价的，其投标将被认定为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b/>
          <w:bCs/>
          <w:szCs w:val="21"/>
        </w:rPr>
      </w:pPr>
      <w:bookmarkStart w:id="37" w:name="_Toc266951048"/>
      <w:r>
        <w:rPr>
          <w:rFonts w:hint="eastAsia" w:ascii="仿宋_GB2312" w:hAnsi="仿宋_GB2312" w:eastAsia="仿宋_GB2312" w:cs="仿宋_GB2312"/>
          <w:b/>
          <w:bCs/>
          <w:szCs w:val="21"/>
        </w:rPr>
        <w:t>3.语言文字</w:t>
      </w:r>
      <w:bookmarkEnd w:id="37"/>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除专用术语外，与投标有关的语言均使用中文。必要时专用术语应附有中文注释。对不同文字文本投标文件的解释发生异议的，以中文文本为准。</w:t>
      </w:r>
    </w:p>
    <w:p>
      <w:pPr>
        <w:adjustRightInd w:val="0"/>
        <w:snapToGrid w:val="0"/>
        <w:spacing w:line="360" w:lineRule="auto"/>
        <w:rPr>
          <w:rFonts w:ascii="仿宋_GB2312" w:hAnsi="仿宋_GB2312" w:eastAsia="仿宋_GB2312" w:cs="仿宋_GB2312"/>
          <w:b/>
          <w:bCs/>
          <w:szCs w:val="21"/>
        </w:rPr>
      </w:pPr>
      <w:bookmarkStart w:id="38" w:name="_1.8_计量单位"/>
      <w:bookmarkEnd w:id="38"/>
      <w:bookmarkStart w:id="39" w:name="_Toc266951049"/>
      <w:r>
        <w:rPr>
          <w:rFonts w:hint="eastAsia" w:ascii="仿宋_GB2312" w:hAnsi="仿宋_GB2312" w:eastAsia="仿宋_GB2312" w:cs="仿宋_GB2312"/>
          <w:szCs w:val="21"/>
        </w:rPr>
        <w:t>★</w:t>
      </w:r>
      <w:r>
        <w:rPr>
          <w:rFonts w:hint="eastAsia" w:ascii="仿宋_GB2312" w:hAnsi="仿宋_GB2312" w:eastAsia="仿宋_GB2312" w:cs="仿宋_GB2312"/>
          <w:b/>
          <w:bCs/>
          <w:szCs w:val="21"/>
        </w:rPr>
        <w:t>4.计量单位</w:t>
      </w:r>
      <w:bookmarkEnd w:id="39"/>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除投标人须知表4款中有特殊要求外，投标文件中所使用的计量单位，应采用中华人民共和国法定计量单位。</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5.投标费用</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不论投标的结果如何，投标人应承担所有与投标有关的费用。</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6.现场考察、开标前答疑会</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6.1</w:t>
      </w:r>
      <w:r>
        <w:fldChar w:fldCharType="begin"/>
      </w:r>
      <w:r>
        <w:instrText xml:space="preserve"> HYPERLINK \l "_踏勘现场" </w:instrText>
      </w:r>
      <w:r>
        <w:fldChar w:fldCharType="separate"/>
      </w:r>
      <w:r>
        <w:rPr>
          <w:rFonts w:hint="eastAsia" w:ascii="仿宋_GB2312" w:hAnsi="仿宋_GB2312" w:eastAsia="仿宋_GB2312" w:cs="仿宋_GB2312"/>
          <w:szCs w:val="21"/>
        </w:rPr>
        <w:t>投标人须知表</w:t>
      </w:r>
      <w:r>
        <w:rPr>
          <w:rFonts w:ascii="仿宋_GB2312" w:hAnsi="仿宋_GB2312" w:eastAsia="仿宋_GB2312" w:cs="仿宋_GB2312"/>
          <w:szCs w:val="21"/>
        </w:rPr>
        <w:fldChar w:fldCharType="end"/>
      </w:r>
      <w:r>
        <w:rPr>
          <w:rFonts w:hint="eastAsia" w:ascii="仿宋_GB2312" w:hAnsi="仿宋_GB2312" w:eastAsia="仿宋_GB2312" w:cs="仿宋_GB2312"/>
          <w:szCs w:val="21"/>
        </w:rPr>
        <w:t>6.1款规定组织现场考察或开标前答疑会的，采购人按规定的时间、地点组织投标人现场考察或开标前答疑会，或者在领取招标文件期限截止后以书面形式通知所有获取招标文件的潜在投标人。</w:t>
      </w:r>
    </w:p>
    <w:p>
      <w:pPr>
        <w:adjustRightInd w:val="0"/>
        <w:snapToGrid w:val="0"/>
        <w:spacing w:line="360" w:lineRule="auto"/>
        <w:rPr>
          <w:rFonts w:ascii="仿宋_GB2312" w:hAnsi="仿宋_GB2312" w:eastAsia="仿宋_GB2312" w:cs="仿宋_GB2312"/>
          <w:b/>
          <w:bCs/>
          <w:szCs w:val="21"/>
        </w:rPr>
      </w:pPr>
      <w:bookmarkStart w:id="40" w:name="_1.10_投标预备会"/>
      <w:bookmarkEnd w:id="40"/>
      <w:r>
        <w:rPr>
          <w:rFonts w:hint="eastAsia" w:ascii="仿宋_GB2312" w:hAnsi="仿宋_GB2312" w:eastAsia="仿宋_GB2312" w:cs="仿宋_GB2312"/>
          <w:szCs w:val="21"/>
        </w:rPr>
        <w:t>6.2</w:t>
      </w:r>
      <w:r>
        <w:rPr>
          <w:rFonts w:hint="eastAsia" w:ascii="仿宋_GB2312" w:hAnsi="仿宋_GB2312" w:eastAsia="仿宋_GB2312" w:cs="仿宋_GB2312"/>
          <w:kern w:val="0"/>
          <w:szCs w:val="21"/>
        </w:rPr>
        <w:t>由于未参加现场考察或标前答疑而导致对项目实际情况不了解，影响技术文件编制、</w:t>
      </w:r>
      <w:r>
        <w:fldChar w:fldCharType="begin"/>
      </w:r>
      <w:r>
        <w:instrText xml:space="preserve"> HYPERLINK "https://www.baidu.com/s?wd=%E6%8A%95%E6%A0%87%E6%8A%A5%E4%BB%B7&amp;tn=44039180_cpr&amp;fenlei=mv6quAkxTZn0IZRqIHckPjm4nH00T1dWuyfdP1u9uyPBrjKhmvDv0ZwV5Hcvrjm3rH6sPfKWUMw85HfYnjn4nH6sgvPsT6KdThsqpZwYTjCEQLGCpyw9Uz4Bmy-bIi4WUvYETgN-TLwGUv3EPj63P1RkPH6Y" \t "_blank" </w:instrText>
      </w:r>
      <w:r>
        <w:fldChar w:fldCharType="separate"/>
      </w:r>
      <w:r>
        <w:rPr>
          <w:rFonts w:hint="eastAsia" w:ascii="仿宋_GB2312" w:hAnsi="仿宋_GB2312" w:eastAsia="仿宋_GB2312" w:cs="仿宋_GB2312"/>
          <w:kern w:val="0"/>
          <w:szCs w:val="21"/>
        </w:rPr>
        <w:t>投标报价</w:t>
      </w:r>
      <w:r>
        <w:rPr>
          <w:rFonts w:ascii="仿宋_GB2312" w:hAnsi="仿宋_GB2312" w:eastAsia="仿宋_GB2312" w:cs="仿宋_GB2312"/>
          <w:kern w:val="0"/>
          <w:szCs w:val="21"/>
        </w:rPr>
        <w:fldChar w:fldCharType="end"/>
      </w:r>
      <w:r>
        <w:rPr>
          <w:rFonts w:hint="eastAsia" w:ascii="仿宋_GB2312" w:hAnsi="仿宋_GB2312" w:eastAsia="仿宋_GB2312" w:cs="仿宋_GB2312"/>
          <w:kern w:val="0"/>
          <w:szCs w:val="21"/>
        </w:rPr>
        <w:t>准确性、综合因素响应不全面等问题的，由投标人自行承担相应后果。</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6.3现场考察及参加标前答疑会所发生的费用及一切责任由投标人自行承担。</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7.适用法律</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项目的采购人、采购代理机构、投标人、评标委员会的相关行为均受《中华人民共和国政府采购法》、《中华人民共和国政府采购法实施条例》及本项目本级和上级财政部门关于政府采购有关规定的约束，其权利受到上述法律法规的保护。</w:t>
      </w:r>
    </w:p>
    <w:p>
      <w:pPr>
        <w:pStyle w:val="4"/>
        <w:rPr>
          <w:rFonts w:ascii="仿宋_GB2312" w:hAnsi="仿宋_GB2312" w:eastAsia="仿宋_GB2312" w:cs="仿宋_GB2312"/>
          <w:sz w:val="32"/>
          <w:szCs w:val="28"/>
        </w:rPr>
      </w:pPr>
      <w:bookmarkStart w:id="41" w:name="_Toc10106_WPSOffice_Level2"/>
      <w:r>
        <w:rPr>
          <w:rFonts w:hint="eastAsia" w:ascii="仿宋_GB2312" w:hAnsi="仿宋_GB2312" w:eastAsia="仿宋_GB2312" w:cs="仿宋_GB2312"/>
          <w:sz w:val="32"/>
          <w:szCs w:val="28"/>
        </w:rPr>
        <w:t>三 招标文件</w:t>
      </w:r>
      <w:bookmarkEnd w:id="41"/>
    </w:p>
    <w:p>
      <w:pPr>
        <w:tabs>
          <w:tab w:val="left" w:pos="312"/>
        </w:tabs>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8.招标文件构成</w:t>
      </w:r>
    </w:p>
    <w:p>
      <w:pPr>
        <w:adjustRightInd w:val="0"/>
        <w:snapToGrid w:val="0"/>
        <w:spacing w:line="360" w:lineRule="auto"/>
        <w:rPr>
          <w:rFonts w:ascii="仿宋_GB2312" w:hAnsi="仿宋_GB2312" w:eastAsia="仿宋_GB2312" w:cs="仿宋_GB2312"/>
        </w:rPr>
      </w:pPr>
      <w:r>
        <w:rPr>
          <w:rFonts w:hint="eastAsia" w:ascii="仿宋_GB2312" w:hAnsi="仿宋_GB2312" w:eastAsia="仿宋_GB2312" w:cs="仿宋_GB2312"/>
          <w:szCs w:val="21"/>
        </w:rPr>
        <w:t>招标</w:t>
      </w:r>
      <w:r>
        <w:rPr>
          <w:rFonts w:hint="eastAsia" w:ascii="仿宋_GB2312" w:hAnsi="仿宋_GB2312" w:eastAsia="仿宋_GB2312" w:cs="仿宋_GB2312"/>
        </w:rPr>
        <w:t>文件内容如下:</w:t>
      </w:r>
    </w:p>
    <w:p>
      <w:pPr>
        <w:adjustRightInd w:val="0"/>
        <w:snapToGrid w:val="0"/>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招标公告</w:t>
      </w:r>
    </w:p>
    <w:p>
      <w:pPr>
        <w:numPr>
          <w:ilvl w:val="0"/>
          <w:numId w:val="3"/>
        </w:numPr>
        <w:adjustRightInd w:val="0"/>
        <w:snapToGrid w:val="0"/>
        <w:spacing w:line="360" w:lineRule="auto"/>
        <w:ind w:firstLine="420" w:firstLineChars="200"/>
        <w:rPr>
          <w:rFonts w:ascii="仿宋_GB2312" w:hAnsi="仿宋_GB2312" w:eastAsia="仿宋_GB2312" w:cs="仿宋_GB2312"/>
        </w:rPr>
      </w:pPr>
      <w:bookmarkStart w:id="42" w:name="_Toc4961_WPSOffice_Level2"/>
      <w:bookmarkStart w:id="43" w:name="_Toc188_WPSOffice_Level2"/>
      <w:bookmarkStart w:id="44" w:name="_Toc24604_WPSOffice_Level2"/>
      <w:bookmarkStart w:id="45" w:name="_Toc25935_WPSOffice_Level2"/>
      <w:r>
        <w:rPr>
          <w:rFonts w:hint="eastAsia" w:ascii="仿宋_GB2312" w:hAnsi="仿宋_GB2312" w:eastAsia="仿宋_GB2312" w:cs="仿宋_GB2312"/>
        </w:rPr>
        <w:t>投标人须知</w:t>
      </w:r>
      <w:bookmarkEnd w:id="42"/>
      <w:bookmarkEnd w:id="43"/>
      <w:bookmarkEnd w:id="44"/>
      <w:bookmarkEnd w:id="45"/>
    </w:p>
    <w:p>
      <w:pPr>
        <w:adjustRightInd w:val="0"/>
        <w:snapToGrid w:val="0"/>
        <w:spacing w:line="360" w:lineRule="auto"/>
        <w:ind w:firstLine="420" w:firstLineChars="200"/>
        <w:rPr>
          <w:rFonts w:ascii="仿宋_GB2312" w:hAnsi="仿宋_GB2312" w:eastAsia="仿宋_GB2312" w:cs="仿宋_GB2312"/>
        </w:rPr>
      </w:pPr>
      <w:bookmarkStart w:id="46" w:name="_Toc32235_WPSOffice_Level2"/>
      <w:bookmarkStart w:id="47" w:name="_Toc2443_WPSOffice_Level2"/>
      <w:bookmarkStart w:id="48" w:name="_Toc13276_WPSOffice_Level2"/>
      <w:bookmarkStart w:id="49" w:name="_Toc31424_WPSOffice_Level2"/>
      <w:r>
        <w:rPr>
          <w:rFonts w:hint="eastAsia" w:ascii="仿宋_GB2312" w:hAnsi="仿宋_GB2312" w:eastAsia="仿宋_GB2312" w:cs="仿宋_GB2312"/>
        </w:rPr>
        <w:t>第二章 投标文件内容及格式</w:t>
      </w:r>
      <w:bookmarkEnd w:id="46"/>
      <w:bookmarkEnd w:id="47"/>
      <w:bookmarkEnd w:id="48"/>
      <w:bookmarkEnd w:id="49"/>
    </w:p>
    <w:p>
      <w:pPr>
        <w:adjustRightInd w:val="0"/>
        <w:snapToGrid w:val="0"/>
        <w:spacing w:line="360" w:lineRule="auto"/>
        <w:ind w:firstLine="420" w:firstLineChars="200"/>
        <w:rPr>
          <w:rFonts w:ascii="仿宋_GB2312" w:hAnsi="仿宋_GB2312" w:eastAsia="仿宋_GB2312" w:cs="仿宋_GB2312"/>
        </w:rPr>
      </w:pPr>
      <w:bookmarkStart w:id="50" w:name="_Toc24836_WPSOffice_Level2"/>
      <w:bookmarkStart w:id="51" w:name="_Toc4416_WPSOffice_Level2"/>
      <w:bookmarkStart w:id="52" w:name="_Toc7005_WPSOffice_Level2"/>
      <w:bookmarkStart w:id="53" w:name="_Toc16269_WPSOffice_Level2"/>
      <w:r>
        <w:rPr>
          <w:rFonts w:hint="eastAsia" w:ascii="仿宋_GB2312" w:hAnsi="仿宋_GB2312" w:eastAsia="仿宋_GB2312" w:cs="仿宋_GB2312"/>
        </w:rPr>
        <w:t>第三章 货物需求</w:t>
      </w:r>
      <w:bookmarkEnd w:id="50"/>
      <w:bookmarkEnd w:id="51"/>
      <w:bookmarkEnd w:id="52"/>
      <w:bookmarkEnd w:id="53"/>
    </w:p>
    <w:p>
      <w:pPr>
        <w:adjustRightInd w:val="0"/>
        <w:snapToGrid w:val="0"/>
        <w:spacing w:line="360" w:lineRule="auto"/>
        <w:ind w:firstLine="420" w:firstLineChars="200"/>
        <w:rPr>
          <w:rFonts w:ascii="仿宋_GB2312" w:hAnsi="仿宋_GB2312" w:eastAsia="仿宋_GB2312" w:cs="仿宋_GB2312"/>
        </w:rPr>
      </w:pPr>
      <w:bookmarkStart w:id="54" w:name="_Toc16119_WPSOffice_Level2"/>
      <w:bookmarkStart w:id="55" w:name="_Toc16294_WPSOffice_Level2"/>
      <w:bookmarkStart w:id="56" w:name="_Toc23459_WPSOffice_Level2"/>
      <w:bookmarkStart w:id="57" w:name="_Toc25382_WPSOffice_Level2"/>
      <w:r>
        <w:rPr>
          <w:rFonts w:hint="eastAsia" w:ascii="仿宋_GB2312" w:hAnsi="仿宋_GB2312" w:eastAsia="仿宋_GB2312" w:cs="仿宋_GB2312"/>
        </w:rPr>
        <w:t>第四章 评标方法</w:t>
      </w:r>
      <w:bookmarkEnd w:id="54"/>
      <w:bookmarkEnd w:id="55"/>
      <w:bookmarkEnd w:id="56"/>
      <w:bookmarkEnd w:id="57"/>
    </w:p>
    <w:p>
      <w:pPr>
        <w:adjustRightInd w:val="0"/>
        <w:snapToGrid w:val="0"/>
        <w:spacing w:line="360" w:lineRule="auto"/>
        <w:ind w:firstLine="420" w:firstLineChars="200"/>
        <w:rPr>
          <w:rFonts w:ascii="仿宋_GB2312" w:hAnsi="仿宋_GB2312" w:eastAsia="仿宋_GB2312" w:cs="仿宋_GB2312"/>
        </w:rPr>
      </w:pPr>
      <w:bookmarkStart w:id="58" w:name="_Toc28106_WPSOffice_Level2"/>
      <w:bookmarkStart w:id="59" w:name="_Toc9629_WPSOffice_Level2"/>
      <w:bookmarkStart w:id="60" w:name="_Toc17794_WPSOffice_Level2"/>
      <w:bookmarkStart w:id="61" w:name="_Toc16368_WPSOffice_Level2"/>
      <w:r>
        <w:rPr>
          <w:rFonts w:hint="eastAsia" w:ascii="仿宋_GB2312" w:hAnsi="仿宋_GB2312" w:eastAsia="仿宋_GB2312" w:cs="仿宋_GB2312"/>
        </w:rPr>
        <w:t>第五章 政府采购合同</w:t>
      </w:r>
      <w:bookmarkEnd w:id="58"/>
      <w:bookmarkEnd w:id="59"/>
      <w:bookmarkEnd w:id="60"/>
      <w:bookmarkEnd w:id="61"/>
      <w:r>
        <w:rPr>
          <w:rFonts w:hint="eastAsia" w:ascii="仿宋_GB2312" w:hAnsi="仿宋_GB2312" w:eastAsia="仿宋_GB2312" w:cs="仿宋_GB2312"/>
        </w:rPr>
        <w:t>条款及格式</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★8.2投标人应认真阅读招标文件所有的事项、格式、条款等。如投标人没有按照招标文件要求提交资料，或者投标文件没有对招标文件做出实质性响应，可能导致其投标被认定为投标无效。</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9.招标文件的澄清与修改</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9.1采购人或者采购代理机构可以对已发出的招标文件进行澄清或者修改。澄清或者修改的内容可能影响投标文件编制的，应当在投标截止时间至少15日前，在原公告发布媒体上发布变更公告，并以书面形式通知所有获取招标文件的潜在投标人；不足15日的，采购人或者采购代理机构应当顺延提交投标文件的截止时间。</w:t>
      </w:r>
    </w:p>
    <w:p>
      <w:pPr>
        <w:adjustRightInd w:val="0"/>
        <w:snapToGrid w:val="0"/>
        <w:spacing w:line="360" w:lineRule="auto"/>
        <w:rPr>
          <w:rFonts w:hint="eastAsia" w:ascii="仿宋_GB2312" w:hAnsi="仿宋_GB2312" w:eastAsia="仿宋_GB2312" w:cs="仿宋_GB2312"/>
          <w:szCs w:val="21"/>
        </w:rPr>
      </w:pPr>
      <w:bookmarkStart w:id="62" w:name="_Toc7415_WPSOffice_Level2"/>
      <w:r>
        <w:rPr>
          <w:rFonts w:hint="eastAsia" w:ascii="仿宋_GB2312" w:hAnsi="仿宋_GB2312" w:eastAsia="仿宋_GB2312" w:cs="仿宋_GB2312"/>
          <w:szCs w:val="21"/>
        </w:rPr>
        <w:t>9.2澄清或者修改的内容为招标文件的组成部分，对所有招标文件的收受人具有约束力。</w:t>
      </w:r>
    </w:p>
    <w:p>
      <w:pPr>
        <w:adjustRightInd w:val="0"/>
        <w:snapToGrid w:val="0"/>
        <w:spacing w:line="360" w:lineRule="auto"/>
        <w:rPr>
          <w:rFonts w:hint="eastAsia" w:ascii="仿宋_GB2312" w:hAnsi="仿宋_GB2312" w:eastAsia="仿宋_GB2312" w:cs="仿宋_GB2312"/>
          <w:szCs w:val="21"/>
        </w:rPr>
      </w:pPr>
    </w:p>
    <w:p>
      <w:pPr>
        <w:pStyle w:val="4"/>
        <w:rPr>
          <w:rFonts w:ascii="仿宋_GB2312" w:hAnsi="仿宋_GB2312" w:eastAsia="仿宋_GB2312" w:cs="仿宋_GB2312"/>
          <w:sz w:val="32"/>
          <w:szCs w:val="32"/>
        </w:rPr>
      </w:pPr>
      <w:r>
        <w:rPr>
          <w:rFonts w:hint="eastAsia" w:ascii="仿宋_GB2312" w:hAnsi="仿宋_GB2312" w:eastAsia="仿宋_GB2312" w:cs="仿宋_GB2312"/>
          <w:sz w:val="32"/>
          <w:szCs w:val="32"/>
        </w:rPr>
        <w:t>四 投标文件的编制</w:t>
      </w:r>
      <w:bookmarkEnd w:id="62"/>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10.投标范围</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10.1项目有分包的，投标人可对招标文件其中某一个分包或几个分包进行投标。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★10.2投标人应当对所投分包在招标文件中“货物需求”所列的所有货物内容进行投标，如仅响应分包中某一部分内容，其该包投标将被认定为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pStyle w:val="7"/>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10.3如一个分包内包含多种产品的，采购人或采购代理机构将在投标人须知表10.3款中载明核心产品（非单一产品采购时，只能设一个核心产品），多家投标人提供的核心产品品牌相同的，按照第四章“评标办法”第4款“同一品牌产品”规定处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10.4无论招标文件第三章货物需求中是否要求，投标人所投货物均应符合国家强制性标准。</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11.投标文件构成</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★11.1投标人应完整地按招标文件提供的投标文件格式及要求编写投标文件。投标文件应包括资格证明文件、符合性证明文件、其它材料三部分。具体见第二章 投标文件内容及格式。</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★11.2投标人应按招标文件提供的格式编写投标文件。招标文件提供标准格式的按标准格式填列，未提供标准格式的可自行拟定。</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11.3 样品或演示要求详见投标人须知表11.3款。</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12.投标报价</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12.1所有投标均按投标人须知表12.1款中要求货币进行报价。投标人的投标报价应遵守《中华人民共和国价格法》。同时，根据《中华人民共和国政府采购法》第三条的规定，为保证公平竞争，如有货物主体部分的赠与行为，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12.2投标价格应为投标货物（包括备品备件、专用工具等）的出厂价格（包括已在中国国内的进口货物完税后的交货价）、购买货物和伴随服务需缴纳的所有税费、运输费、保险费、装卸费、安装及调试费、检验费、技术服务费和培训费等完成所需的一切费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12.3投标人应按招标文件要求在相关表格中标明投标货物及伴随服务的单价和总价，并由法定代表人（非法人组织的负责人）或其委托代理人签署。</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12.4投标人所报的各分项投标单价在合同履行过程中是固定不变的，不得以任何理由予以变更。任何包含价格调整要求的投标，其投标将被认定为</w:t>
      </w:r>
      <w:r>
        <w:rPr>
          <w:rFonts w:hint="eastAsia" w:ascii="仿宋_GB2312" w:hAnsi="仿宋_GB2312" w:eastAsia="仿宋_GB2312" w:cs="仿宋_GB2312"/>
          <w:b/>
          <w:bCs/>
          <w:szCs w:val="21"/>
        </w:rPr>
        <w:t>投标无效。</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12.5每种货物只能有一个投标报价。采购人不接受具有附加条件的报价。</w:t>
      </w:r>
    </w:p>
    <w:p>
      <w:pPr>
        <w:adjustRightInd w:val="0"/>
        <w:snapToGrid w:val="0"/>
        <w:spacing w:line="360" w:lineRule="auto"/>
        <w:rPr>
          <w:rFonts w:ascii="仿宋_GB2312" w:hAnsi="仿宋_GB2312" w:eastAsia="仿宋_GB2312" w:cs="仿宋_GB2312"/>
          <w:szCs w:val="21"/>
        </w:rPr>
      </w:pPr>
      <w:bookmarkStart w:id="63" w:name="_Toc22507_WPSOffice_Level2"/>
      <w:bookmarkStart w:id="64" w:name="_Toc31973_WPSOffice_Level2"/>
      <w:r>
        <w:rPr>
          <w:rFonts w:hint="eastAsia" w:ascii="仿宋_GB2312" w:hAnsi="仿宋_GB2312" w:eastAsia="仿宋_GB2312" w:cs="仿宋_GB2312"/>
          <w:szCs w:val="21"/>
        </w:rPr>
        <w:t>12.6除非招标文件另有规定，报价原则上精确到小数点后两位。</w:t>
      </w:r>
      <w:bookmarkEnd w:id="63"/>
      <w:bookmarkEnd w:id="64"/>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★13.投标保证金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13.1投标人应提交投标人须知表13.1款中规定的投标保证金，并作为其投标的一部分。</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13.2投标保证金缴纳人、招标文件领取人、投标登记人和投标人必须为同一组织机构或联合体内不同成员单位，否则将视同未按招标文件规定交纳投标保证金。</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13.3投标人存在下列情形的，投标保证金不予退还：</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（1）在投标有效期内，投标人撤销投标的；</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（2）中标后不按本须知第34款的规定与采购人签订合同的；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（3）中标后不按本须知第35款的规定提交履约保证金的；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（4）中标后不按本须知第36款的规定缴纳采购代理服务费的；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（5）存在其他违法违规行为的。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13.4联合体投标的，可以由联合体中的一方或者共同提交投标保证金。以一方名义提交投标保证金的，对联合体各方均具有约束力。</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13.5投标保证金的退还</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13.5.1中标人应在与采购人签订合同之日起5个工作日内，及时联系保证金收受机构办理投标保证金退还手续。</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13.5.2未中标投标人的投标保证金将在中标通知书发出之日暨中标结果公告公布之日起5个工作日内无息退还。投标人应及时联系保证金收受机构办理退还投标保证金手续。</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13.5.3投标人在投标截止时间前撤回已提交的投标文件的，投标人应自采购人或者采购代理机构收到投标人书面撤回通知之日起５个工作日内，及时联系保证金收受机构办理投标保证金退还手续。</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13.5.4 政府采购投标担保函不予退回。</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13.6 因投标人自身原因导致无法及时退还的，采购人或采购代理机构将不承担相应责任。</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14.证明投标标的的合格性和符合招标文件规定的技术文件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14.1投标人应提交证明文件，证明其投标内容符合招标文件规定。该证明文件是投标文件的一部分。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14.2上款所述的证明文件，可以是文字资料、图纸和数据，它包括：</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（1）货物主要技术指标和性能的详细说明；</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（2）货物从采购人开始使用至招标文件规定的保质期内正常、连续地使用所必须的备件和专用工具清单，包括备件和专用工具的货源及现行价格;</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（3）对照招标文件技术规格，逐条说明所提供货物及伴随的工程和服务已对招标文件的技术规格做出了实质性的响应，或申明与技术规格条文的偏差和例外。</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15.投标有效期</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15.1投标应在投标人须知表15.1款中规定的投标有效期内保持有效。投标有效期不满足要求的投标，其投标将被认定为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15.2在特殊情况下，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16.投标文件的签署及规定</w:t>
      </w:r>
    </w:p>
    <w:p>
      <w:pPr>
        <w:adjustRightInd w:val="0"/>
        <w:snapToGrid w:val="0"/>
        <w:spacing w:line="360" w:lineRule="auto"/>
        <w:rPr>
          <w:rFonts w:ascii="仿宋_GB2312" w:hAnsi="仿宋_GB2312" w:eastAsia="仿宋_GB2312" w:cs="仿宋_GB2312"/>
          <w:szCs w:val="21"/>
        </w:rPr>
      </w:pPr>
      <w:bookmarkStart w:id="65" w:name="_Toc27725_WPSOffice_Level2"/>
      <w:r>
        <w:rPr>
          <w:rFonts w:hint="eastAsia" w:ascii="仿宋_GB2312" w:hAnsi="仿宋_GB2312" w:eastAsia="仿宋_GB2312" w:cs="仿宋_GB2312"/>
          <w:szCs w:val="21"/>
        </w:rPr>
        <w:t>16.1投标人应按投标人须知表16.1款中的规定，准备和递交投标文件正本、副本。</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★16.2每份投标文件封皮须清楚地标明“正本”或“副本”。若正本和副本不符，以正本为准。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16.3投标文件的正本需打印或用不褪色墨水书写，并由投标人的法定代表人（非法人组织负责人）或经其正式委托代理人按招标文件规定在投标文件上签字或盖章，并加盖单位印章。委托代理人须持有书面的“法定代表人（非法人组织负责人）授权委托书”，并将其附在投标文件中。如对投标文件进行了修改，则应由投标人的法定代表人（非法人组织负责人）或其委托代理人在每一修改处签字。投标文件的副本可采用正本的复印件。</w:t>
      </w:r>
    </w:p>
    <w:p>
      <w:pPr>
        <w:pStyle w:val="4"/>
        <w:rPr>
          <w:rFonts w:ascii="仿宋_GB2312" w:hAnsi="仿宋_GB2312" w:eastAsia="仿宋_GB2312" w:cs="仿宋_GB2312"/>
          <w:sz w:val="32"/>
          <w:szCs w:val="28"/>
        </w:rPr>
      </w:pPr>
      <w:r>
        <w:rPr>
          <w:rFonts w:hint="eastAsia" w:ascii="仿宋_GB2312" w:hAnsi="仿宋_GB2312" w:eastAsia="仿宋_GB2312" w:cs="仿宋_GB2312"/>
          <w:sz w:val="32"/>
          <w:szCs w:val="28"/>
        </w:rPr>
        <w:t>五 投标文件的递交</w:t>
      </w:r>
      <w:bookmarkEnd w:id="65"/>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17.投标文件的密封和标记</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17.1投标人应将投标文件密封，将正本和所有的副本密封，并进行包封。</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17.2所有包装封皮上均应：</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（1）注明项目名称、项目编号、包号、投标人名称。</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（2）在封口处加盖投标人单位公章。</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17.3如果投标人未按上述要求密封，其投标文件将被</w:t>
      </w:r>
      <w:r>
        <w:rPr>
          <w:rFonts w:hint="eastAsia" w:ascii="仿宋_GB2312" w:hAnsi="仿宋_GB2312" w:eastAsia="仿宋_GB2312" w:cs="仿宋_GB2312"/>
          <w:b/>
          <w:bCs/>
          <w:szCs w:val="21"/>
        </w:rPr>
        <w:t>拒绝接收</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18.投标截止</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18.1投标人应在投标人须知表18.1中规定的递交投标文件截止时间前，将投标文件递交到投标人须知表18.1款中规定的地点。</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18.2采购人和采购代理机构有权按本须知的规定，延迟投标截止时间。在此情况下，采购人、采购代理机构和投标人受投标截止时间制约的所有权利和义务均应延长至新的截止时间。</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19.投标文件的接收、修改与撤回</w:t>
      </w:r>
    </w:p>
    <w:p>
      <w:pPr>
        <w:adjustRightInd w:val="0"/>
        <w:snapToGrid w:val="0"/>
        <w:spacing w:line="360" w:lineRule="auto"/>
        <w:rPr>
          <w:rFonts w:ascii="仿宋_GB2312" w:hAnsi="仿宋_GB2312" w:eastAsia="仿宋_GB2312" w:cs="仿宋_GB2312"/>
          <w:szCs w:val="21"/>
        </w:rPr>
      </w:pPr>
      <w:bookmarkStart w:id="66" w:name="_Toc988_WPSOffice_Level2"/>
      <w:r>
        <w:rPr>
          <w:rFonts w:hint="eastAsia" w:ascii="仿宋_GB2312" w:hAnsi="仿宋_GB2312" w:eastAsia="仿宋_GB2312" w:cs="仿宋_GB2312"/>
          <w:szCs w:val="21"/>
        </w:rPr>
        <w:t>19.1在投标截止时间后送达的投标文件，采购人和采购代理机构将</w:t>
      </w:r>
      <w:r>
        <w:rPr>
          <w:rFonts w:hint="eastAsia" w:ascii="仿宋_GB2312" w:hAnsi="仿宋_GB2312" w:eastAsia="仿宋_GB2312" w:cs="仿宋_GB2312"/>
          <w:b/>
          <w:bCs/>
          <w:szCs w:val="21"/>
        </w:rPr>
        <w:t>拒绝接收</w:t>
      </w:r>
      <w:r>
        <w:rPr>
          <w:rFonts w:hint="eastAsia" w:ascii="仿宋_GB2312" w:hAnsi="仿宋_GB2312" w:eastAsia="仿宋_GB2312" w:cs="仿宋_GB2312"/>
          <w:szCs w:val="21"/>
        </w:rPr>
        <w:t>。</w:t>
      </w:r>
    </w:p>
    <w:p>
      <w:pPr>
        <w:adjustRightInd w:val="0"/>
        <w:snapToGrid w:val="0"/>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19.2采购人或者采购代理机构收到投标文件后，应当如实记载投标文件的送达时间和密封情况。</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19.3递交投标文件以后，如果投标人要进行修改或撤回投标，须提出书面申请并在投标截止时间前送达开标地点，投标人对投标文件的修改或撤回通知应按本须知规定编制、密封、标记。采购人和采购代理机构将予以接收，并视为投标文件的组成部分。否则，修改后的投标文件或撤回行为无效。</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19.4在投标截止时间之后，投标人不得对其投标文件做任何修改。</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19.5 采购人和采购代理机构对所接收并当众宣读投标内容的投标文件概不退回。</w:t>
      </w:r>
    </w:p>
    <w:p>
      <w:pPr>
        <w:pStyle w:val="4"/>
        <w:rPr>
          <w:rFonts w:ascii="仿宋_GB2312" w:hAnsi="仿宋_GB2312" w:eastAsia="仿宋_GB2312" w:cs="仿宋_GB2312"/>
          <w:sz w:val="32"/>
          <w:szCs w:val="28"/>
        </w:rPr>
      </w:pPr>
      <w:r>
        <w:rPr>
          <w:rFonts w:hint="eastAsia" w:ascii="仿宋_GB2312" w:hAnsi="仿宋_GB2312" w:eastAsia="仿宋_GB2312" w:cs="仿宋_GB2312"/>
          <w:sz w:val="32"/>
          <w:szCs w:val="28"/>
        </w:rPr>
        <w:t>六 开标及评标</w:t>
      </w:r>
      <w:bookmarkEnd w:id="66"/>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20.开标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20.1采购人和采购代理机构将按投标人须知表20.1款中规定的开标时间和地点组织公开开标并邀请所有投标人代表参加。</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投标人不足3家的，不得开标。评标委员会成员不得参加开标活动。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20.2开标时，由投标人或其推选的代表检查投标文件的密封情况，经记录后，由采购人或采购代理机构当众拆封投标文件，宣读投标人名称、投标价格及招标文件规定的内容。对于投标人在投标截止时间前递交的投标声明，在开标时当众宣读，评标时有效。</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未宣读投标价格、价格折扣等实质内容，评标时不予承认。</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20.3采购人或采购代理机构将对开标过程进行记录，由参加开标的各投标人代表和相关工作人员签字确认，并存档备查。投标人未参加开标或未签字确认的，视同认可开标结果。</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20.4投标人代表对开标过程和开标记录有疑义，以及认为采购人、采购代理机构相关工作人员有需要回避的情形的，应当场提出询问或者回避申请。</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21.组建评标委员会</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按照《中华人民共和国政府采购法》、《中华人民共和国政府采购法实施条例》有关规定依法组建评标委员会，负责本项目评标工作。本项目评标委员会组成详见投标人须知表21款。</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22.资格审查</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color w:val="auto"/>
          <w:szCs w:val="21"/>
        </w:rPr>
        <w:t>22.1 采购人或采购代理机构</w:t>
      </w:r>
      <w:r>
        <w:rPr>
          <w:rFonts w:hint="eastAsia" w:ascii="仿宋_GB2312" w:hAnsi="仿宋_GB2312" w:eastAsia="仿宋_GB2312" w:cs="仿宋_GB2312"/>
          <w:color w:val="auto"/>
          <w:szCs w:val="21"/>
          <w:lang w:eastAsia="zh-CN"/>
        </w:rPr>
        <w:t>委托评审委员会</w:t>
      </w:r>
      <w:r>
        <w:rPr>
          <w:rFonts w:hint="eastAsia" w:ascii="仿宋_GB2312" w:hAnsi="仿宋_GB2312" w:eastAsia="仿宋_GB2312" w:cs="仿宋_GB2312"/>
          <w:color w:val="auto"/>
          <w:szCs w:val="21"/>
        </w:rPr>
        <w:t>依据法律法规和招标文件中规定的内容，对投标人的</w:t>
      </w:r>
      <w:r>
        <w:rPr>
          <w:rFonts w:hint="eastAsia" w:ascii="仿宋_GB2312" w:hAnsi="仿宋_GB2312" w:eastAsia="仿宋_GB2312" w:cs="仿宋_GB2312"/>
          <w:szCs w:val="21"/>
        </w:rPr>
        <w:t>资格进行审查，投标人应按照第二章《投标文件内容及格式》中的相应要求提交资格证明材料。未通过资格审查的投标人不能进入评标，其投标将被认定为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；通过资格审查的投标人不足3家的，不得评标。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22.2 投标人存在不良信用记录的，其投标将被认定为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22.2.1 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adjustRightInd w:val="0"/>
        <w:snapToGrid w:val="0"/>
        <w:spacing w:line="360" w:lineRule="auto"/>
        <w:ind w:firstLine="420" w:firstLineChars="200"/>
        <w:rPr>
          <w:rFonts w:ascii="仿宋_GB2312" w:hAnsi="仿宋_GB2312" w:eastAsia="仿宋_GB2312" w:cs="仿宋_GB2312"/>
          <w:color w:val="FF0000"/>
          <w:szCs w:val="21"/>
        </w:rPr>
      </w:pPr>
      <w:r>
        <w:rPr>
          <w:rFonts w:hint="eastAsia" w:ascii="仿宋_GB2312" w:hAnsi="仿宋_GB2312" w:eastAsia="仿宋_GB2312" w:cs="仿宋_GB2312"/>
          <w:szCs w:val="21"/>
        </w:rPr>
        <w:t>以联合体形式参加投标的，联合体任何成员存在以上不良信用记录的，联合体投标将被认定为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23.符合性审查</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 xml:space="preserve">    符合性审查是指依据招标文件的规定，从投标文件的有效性和完整性对招标文件的响应程度进行审查，以确定是否对招标文件的实质性要求做出响应。投标人应按照第二章《投标文件内容及格式》中的相应要求，提交符合性证明材料。未通过符合性审查的投标人不能进入下一阶段评审，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；通过符合性审查的投标人数量不足3家的，不得作进一步的比较和评价。</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24.投标文件的澄清</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24.1在评标期间，评标委员会将以书面方式要求投标人对其投标文件中含义不明确、对同类问题表述不一致或者有明显文字和计算错误的内容作必要的澄清、说明或补正。投标人的澄清、说明或补正应在评标委员会规定的时间内以书面方式进行，并不得超出投标文件范围或者改变投标文件的实质性内容。投标人拒不进行澄清、说明、补正的，或者不能在规定时间内作出书面澄清、说明、补正的，其投标将被作为无效投标处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24.2投标人的澄清、说明或补正将作为投标文件的一部分。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24.3投标文件报价出现前后不一致的，按照下列规定修正：</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（1）投标文件中开标一览表内容与投标文件中相应内容不一致的，以开标一览表为准；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（2）大写金额和小写金额不一致的，以大写金额为准；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（3）单价金额小数点或者百分比有明显错位的，以开标一览表的总价为准，并修改单价；</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（4）总价金额与按单价汇总金额不一致的，以单价金额计算结果为准。</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同时出现两种以上不一致的，按照前款规定的顺序修正。修正后的报价经投标人确认后产生约束力，投标人不确认的，其投标将被认定为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rPr>
      </w:pPr>
      <w:r>
        <w:rPr>
          <w:rFonts w:hint="eastAsia" w:ascii="仿宋_GB2312" w:hAnsi="仿宋_GB2312" w:eastAsia="仿宋_GB2312" w:cs="仿宋_GB2312"/>
          <w:szCs w:val="21"/>
        </w:rPr>
        <w:t>24.4</w:t>
      </w:r>
      <w:r>
        <w:rPr>
          <w:rFonts w:hint="eastAsia" w:ascii="仿宋_GB2312" w:hAnsi="仿宋_GB2312" w:eastAsia="仿宋_GB2312" w:cs="仿宋_GB2312"/>
          <w:b/>
          <w:bCs/>
          <w:szCs w:val="21"/>
        </w:rPr>
        <w:t>评标委员会认为</w:t>
      </w:r>
      <w:r>
        <w:rPr>
          <w:rFonts w:hint="eastAsia" w:ascii="仿宋_GB2312" w:hAnsi="仿宋_GB2312" w:eastAsia="仿宋_GB2312" w:cs="仿宋_GB2312"/>
          <w:szCs w:val="21"/>
        </w:rPr>
        <w:t>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仿宋_GB2312" w:hAnsi="仿宋_GB2312" w:eastAsia="仿宋_GB2312" w:cs="仿宋_GB2312"/>
          <w:b/>
          <w:bCs/>
          <w:szCs w:val="21"/>
        </w:rPr>
        <w:t>无效投标</w:t>
      </w:r>
      <w:r>
        <w:rPr>
          <w:rFonts w:hint="eastAsia" w:ascii="仿宋_GB2312" w:hAnsi="仿宋_GB2312" w:eastAsia="仿宋_GB2312" w:cs="仿宋_GB2312"/>
          <w:szCs w:val="21"/>
        </w:rPr>
        <w:t>处理。提交证明材料的合理时间按第四章 评标方法规定执行。</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25样品及演示</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25.1投标人须知表11.3款中要求投标人提供样品的，按照投标人须知表25.1款中样品的评审方法以及评审标准进行评审。</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25.2采购活动结束后，对于未中标人提供的样品，应当及时退还或者经未中标人同意后自行处理；对于中标人提供的样品，应当按招标文件规定进行保管、封存，并作为履约验收的参考。具体内容见投标人须知表11.3条。</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25.3演示的评审方法以及评审标准具体内容见投标人须知表25.1款。</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26.投标无效</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26.1在比较与评价之前，根据本须知的规定，评标委员会将审查每份投标文件是否实质上响应了招标文件的要求。</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实质性要求是指招标文件中带有★号标识内容（包括本级及其下级编号中所有内容）等文字说明的要求。</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kern w:val="0"/>
          <w:szCs w:val="21"/>
        </w:rPr>
        <w:t>对招标文件的实质性要求进行响应是指与招标文件中带有★号标识内容的文字说明、条款、条件和规格等要求相符。</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如果投标文件没有对招标文件的实质性要求进行响应，将作为</w:t>
      </w:r>
      <w:r>
        <w:rPr>
          <w:rFonts w:hint="eastAsia" w:ascii="仿宋_GB2312" w:hAnsi="仿宋_GB2312" w:eastAsia="仿宋_GB2312" w:cs="仿宋_GB2312"/>
          <w:b/>
          <w:bCs/>
          <w:szCs w:val="21"/>
        </w:rPr>
        <w:t>无效投标</w:t>
      </w:r>
      <w:r>
        <w:rPr>
          <w:rFonts w:hint="eastAsia" w:ascii="仿宋_GB2312" w:hAnsi="仿宋_GB2312" w:eastAsia="仿宋_GB2312" w:cs="仿宋_GB2312"/>
          <w:szCs w:val="21"/>
        </w:rPr>
        <w:t>处理，投标人不得再对投标文件进行任何修正从而使其投标成为实质上响应的投标。</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评标委员会决定投标的响应性只根据招标文件要求、投标文件内容及财政主管部门指定媒体发布的相关信息。</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26.2如发现下列情况之一的，其投标将被认定为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（1）未按招标文件的规定提交投标保证金的；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（2）未按照招标文件规定要求签署、盖章的；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（3）投标人的报价超过了招标文件中规定的预算金额或者最高限价的；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（4）不具备招标文件中规定的资格要求的；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（5）不符合法律、法规和招标文件中规定的其他实质性要求的。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（6）与其他投标人串通投标，或者与采购人串通投标；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（7）评标委员会认为投标人的报价明显低于其他通过符合性审查投标人的报价，有可能影响履约的，且投标人未按照规定证明其报价合理性的；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（8）投标文件含有采购人不能接受的附加条件的；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（9）属于法律、法规和招标文件规定的其他投标无效情形；</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27.比较与评价</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27.1经符合性审查合格的投标文件，评标委员会将根据招标文件确定的评标方法和标准，对其技术部分和商务部分作进一步的比较和评价。</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27.2评标严格按照招标文件的要求和条件进行。根据实际情况，在投标人须知表27.2款中规定采用下列一种评标方法，详细评标标准见第四章 评标方法。</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（1）最低评标价法，是指投标文件满足招标文件全部实质性要求，且投标报价最低的投标人为中标候选人的评标方法。</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（2）综合评分法，是指投标文件满足招标文件全部实质性要求，且按照评审因素的量化指标评审得分最高的投标人为中标候选人的评标方法。</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28.废标</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出现下列情形之一，将导致项目</w:t>
      </w:r>
      <w:r>
        <w:rPr>
          <w:rFonts w:hint="eastAsia" w:ascii="仿宋_GB2312" w:hAnsi="仿宋_GB2312" w:eastAsia="仿宋_GB2312" w:cs="仿宋_GB2312"/>
          <w:b/>
          <w:bCs/>
          <w:szCs w:val="21"/>
        </w:rPr>
        <w:t>废标</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（1）符合专业条件的投标人或者对招标文件做实质性响应的投标人不足3家；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（2）出现影响采购公正的违法、违规行为的；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（3）投标人的报价均超过了采购预算或最高限价，采购人不能支付的；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（4）因重大变故，采购任务取消的。</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29.中标候选人的推荐原则及标准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29.1除第32条规定外，评标委员会将根据评标标准，对实质上响应招标文件的投标人按下列方法进行排序，推荐中标候选人：</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采用最低评标价法的，除了算数修正和落实政府采购政策需进行的价格扣除外，不对投标人的投标价格进行任何调整。评标结果按修正和扣除后的投标报价由低到高顺序排序。报价相同的，按第四章评标办法规定执行。</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（2）采用综合评分法的，评标结果按评审后得分由高到低顺序排序。得分相同的，按第四章评标办法规定执行。</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29.2评标委员会将根据评标标准，按投标人须知表29.2款中规定的数量推荐中标候选人。</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29.3因推荐中标候选人名单产生其他问题，由评标委员会集体研究处理。</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30.保密原则</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30.1 评标将在严格保密的情况下进行。</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30.2 有关人员应当遵守评标工作纪律，不得泄露评审文件、评标情况和评标过程中获悉的国家秘密、商业秘密。</w:t>
      </w:r>
    </w:p>
    <w:p>
      <w:pPr>
        <w:pStyle w:val="4"/>
        <w:rPr>
          <w:rFonts w:ascii="仿宋_GB2312" w:hAnsi="仿宋_GB2312" w:eastAsia="仿宋_GB2312" w:cs="仿宋_GB2312"/>
          <w:sz w:val="32"/>
          <w:szCs w:val="28"/>
        </w:rPr>
      </w:pPr>
      <w:bookmarkStart w:id="67" w:name="_Toc4544_WPSOffice_Level2"/>
      <w:r>
        <w:rPr>
          <w:rFonts w:hint="eastAsia" w:ascii="仿宋_GB2312" w:hAnsi="仿宋_GB2312" w:eastAsia="仿宋_GB2312" w:cs="仿宋_GB2312"/>
          <w:sz w:val="32"/>
          <w:szCs w:val="28"/>
        </w:rPr>
        <w:t>七 确定中标</w:t>
      </w:r>
      <w:bookmarkEnd w:id="67"/>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31.确定中标人</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由采购人或者采购人委托评标委员会按照投标人须知表31中规定的方式确定中标人。</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采购人在收到评标报告5个工作日内未按评标报告推荐的中标候选人顺序确定中标人，又不能说明合法理由的，视同按评标报告推荐的顺序确定排名第一的中标候选人为中标人。</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★32.采购任务取消</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因重大变故采购任务取消时，采购人有权拒绝任何供应商中标，且对受影响的投标人不承担任何责任。</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33.中标通知书</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33.1 采购人或者采购代理机构应当自中标人确定之日起2个工作日内，在辽宁省政府采购网及其地方分网媒体上公告中标结果。同时向中标人发出中标通知书。</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33.2 中标通知书是合同的组成部分。</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34.签订合同</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34.1 中标人应当自发出中标通知书之日起 30 日内，与采购人签订书面合同。</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34.2 招标文件、中标人的投标文件及其澄清文件等，均为签订合同的依据。所签订的合同不得对招标文件确定的事项和中标人投标文件作实质性修改。采购人不得向中标人提出任何不合理的要求，作为签订合同的条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34.3 中标人拒绝与采购人签订合同的，采购人可以按照评标报告推荐的中标候选人名单排序，确定下一中标候选人为中标人，也可以重新开展政府采购活动。</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35.履约保证金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35.1 中标人应按照投标人须知表35.1款规定向采购人缴纳履约保证金。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35.2 如果中标人没有按照上述履约保证金的规定执行，将视为拒绝签订合同并放弃中标资格，中标人的投标保证金将不予退还。在此情况下，采购人可确定下一中标候选人为中标人，也可以重新开展采购活动。</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36.采购代理服务费</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中标人须按照投标须知表36款规定，向采购代理机构支付采购代理服务费。</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37.廉洁自律规定</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37.1采购代理机构工作人员不得以不正当手段获取政府采购代理业务，不得与采购人、投标人恶意串通操纵政府采购活动。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37.2采购代理机构工作人员不得接受采购人或者投标人组织的宴请、旅游、娱乐，不得收受礼品、现金、有价证券等，不得向采购人或者投标人报销应当由个人承担的费用。</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38.人员回避</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投标人认为采购人及其相关人员有法律法规所列与其他投标人有利害关系的，可以向采购人或采购代理机构书面提出回避申请，并说明理由。</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39.质疑与接收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39.1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39.2质疑投标人应按照财政部门制定的《政府采购质疑函范本》格式（详见辽宁政府采购网）和《政府采购质疑和投诉办法》的要求，在法定质疑期内以纸质形式提出质疑，针对同一采购程序环节的质疑应一次性提出。</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超出法定质疑期的、重复提出的、分次提出的或内容、形式不符合《政府采购质疑和投诉办法》的，质疑投标人将依法承担不利后果。</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39.3采购代理机构质疑函接收部门、联系电话和通讯地址, 见投标人须知表39.3款。</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40.履约验收</w:t>
      </w:r>
    </w:p>
    <w:p>
      <w:pPr>
        <w:adjustRightInd w:val="0"/>
        <w:snapToGrid w:val="0"/>
        <w:spacing w:line="360" w:lineRule="auto"/>
        <w:ind w:firstLine="420"/>
        <w:rPr>
          <w:rFonts w:ascii="仿宋_GB2312" w:hAnsi="仿宋_GB2312" w:eastAsia="仿宋_GB2312" w:cs="仿宋_GB2312"/>
          <w:b/>
        </w:rPr>
        <w:sectPr>
          <w:footerReference r:id="rId4" w:type="default"/>
          <w:pgSz w:w="11906" w:h="16838"/>
          <w:pgMar w:top="1440" w:right="1800" w:bottom="1440" w:left="1800" w:header="851" w:footer="992" w:gutter="0"/>
          <w:pgNumType w:start="1"/>
          <w:cols w:space="720" w:num="1"/>
          <w:docGrid w:type="linesAndChars" w:linePitch="312" w:charSpace="0"/>
        </w:sectPr>
      </w:pPr>
      <w:r>
        <w:rPr>
          <w:rFonts w:hint="eastAsia" w:ascii="仿宋_GB2312" w:hAnsi="仿宋_GB2312" w:eastAsia="仿宋_GB2312" w:cs="仿宋_GB2312"/>
          <w:szCs w:val="21"/>
        </w:rPr>
        <w:t>本项目采购人及其委托的采购代理机构将严格按照政府采购相关法律法规以及《辽宁省政府采购履约验收管理办法》（辽财采〔2017〕603号）的要求进行验收。</w:t>
      </w:r>
    </w:p>
    <w:p>
      <w:pPr>
        <w:pStyle w:val="3"/>
        <w:adjustRightInd w:val="0"/>
        <w:snapToGrid w:val="0"/>
        <w:spacing w:before="0" w:after="0"/>
        <w:rPr>
          <w:rFonts w:ascii="仿宋_GB2312" w:hAnsi="仿宋_GB2312" w:eastAsia="仿宋_GB2312" w:cs="仿宋_GB2312"/>
        </w:rPr>
      </w:pPr>
      <w:bookmarkStart w:id="68" w:name="_Toc6403"/>
      <w:bookmarkStart w:id="69" w:name="_Toc17725_WPSOffice_Level1"/>
      <w:r>
        <w:rPr>
          <w:rFonts w:hint="eastAsia" w:ascii="仿宋_GB2312" w:hAnsi="仿宋_GB2312" w:eastAsia="仿宋_GB2312" w:cs="仿宋_GB2312"/>
        </w:rPr>
        <w:t>第二章 投标文件内容及格式</w:t>
      </w:r>
      <w:bookmarkEnd w:id="68"/>
      <w:bookmarkEnd w:id="69"/>
    </w:p>
    <w:p>
      <w:pPr>
        <w:spacing w:before="159" w:beforeLines="50"/>
        <w:rPr>
          <w:rFonts w:ascii="仿宋_GB2312" w:hAnsi="仿宋_GB2312" w:eastAsia="仿宋_GB2312" w:cs="仿宋_GB2312"/>
          <w:b/>
          <w:sz w:val="24"/>
        </w:rPr>
      </w:pPr>
      <w:bookmarkStart w:id="70" w:name="投标文件内容及格式：Block"/>
      <w:bookmarkEnd w:id="70"/>
      <w:bookmarkStart w:id="71" w:name="sys_投标文件内容及格式：Block"/>
      <w:bookmarkEnd w:id="71"/>
      <w:bookmarkStart w:id="72" w:name="_Toc1538_WPSOffice_Level2"/>
      <w:bookmarkStart w:id="73" w:name="_Toc2481_WPSOffice_Level2"/>
      <w:r>
        <w:rPr>
          <w:rFonts w:hint="eastAsia" w:ascii="仿宋_GB2312" w:hAnsi="仿宋_GB2312" w:eastAsia="仿宋_GB2312" w:cs="仿宋_GB2312"/>
          <w:b/>
          <w:sz w:val="24"/>
        </w:rPr>
        <w:t>一、投标文件的外封面、封口、封皮及目录</w:t>
      </w:r>
      <w:bookmarkEnd w:id="72"/>
      <w:bookmarkEnd w:id="73"/>
    </w:p>
    <w:tbl>
      <w:tblPr>
        <w:tblStyle w:val="19"/>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697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blHeader/>
          <w:jc w:val="center"/>
        </w:trPr>
        <w:tc>
          <w:tcPr>
            <w:tcW w:w="677" w:type="dxa"/>
            <w:noWrap w:val="0"/>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序号</w:t>
            </w:r>
          </w:p>
        </w:tc>
        <w:tc>
          <w:tcPr>
            <w:tcW w:w="6976" w:type="dxa"/>
            <w:noWrap w:val="0"/>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内容</w:t>
            </w:r>
          </w:p>
        </w:tc>
        <w:tc>
          <w:tcPr>
            <w:tcW w:w="742" w:type="dxa"/>
            <w:noWrap w:val="0"/>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77" w:type="dxa"/>
            <w:noWrap w:val="0"/>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6976" w:type="dxa"/>
            <w:noWrap w:val="0"/>
            <w:vAlign w:val="center"/>
          </w:tcPr>
          <w:p>
            <w:pPr>
              <w:widowControl/>
              <w:adjustRightInd w:val="0"/>
              <w:snapToGrid w:val="0"/>
              <w:jc w:val="left"/>
              <w:rPr>
                <w:rFonts w:ascii="仿宋_GB2312" w:hAnsi="仿宋_GB2312" w:eastAsia="仿宋_GB2312" w:cs="仿宋_GB2312"/>
                <w:b/>
                <w:kern w:val="0"/>
                <w:szCs w:val="21"/>
              </w:rPr>
            </w:pPr>
            <w:r>
              <w:rPr>
                <w:rFonts w:hint="eastAsia" w:ascii="仿宋_GB2312" w:hAnsi="仿宋_GB2312" w:eastAsia="仿宋_GB2312" w:cs="仿宋_GB2312"/>
                <w:kern w:val="0"/>
                <w:szCs w:val="21"/>
              </w:rPr>
              <w:t>投标文件的外封面及封口</w:t>
            </w:r>
          </w:p>
        </w:tc>
        <w:tc>
          <w:tcPr>
            <w:tcW w:w="742" w:type="dxa"/>
            <w:noWrap w:val="0"/>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7" w:type="dxa"/>
            <w:noWrap w:val="0"/>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6976" w:type="dxa"/>
            <w:noWrap w:val="0"/>
            <w:vAlign w:val="center"/>
          </w:tcPr>
          <w:p>
            <w:pPr>
              <w:widowControl/>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投标文件的封皮</w:t>
            </w:r>
          </w:p>
        </w:tc>
        <w:tc>
          <w:tcPr>
            <w:tcW w:w="742" w:type="dxa"/>
            <w:noWrap w:val="0"/>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7" w:type="dxa"/>
            <w:noWrap w:val="0"/>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6976" w:type="dxa"/>
            <w:noWrap w:val="0"/>
            <w:vAlign w:val="center"/>
          </w:tcPr>
          <w:p>
            <w:pPr>
              <w:widowControl/>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投标文件的目录</w:t>
            </w:r>
          </w:p>
        </w:tc>
        <w:tc>
          <w:tcPr>
            <w:tcW w:w="742" w:type="dxa"/>
            <w:noWrap w:val="0"/>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r>
    </w:tbl>
    <w:p>
      <w:pPr>
        <w:snapToGrid w:val="0"/>
        <w:spacing w:before="159" w:beforeLines="50"/>
        <w:rPr>
          <w:rFonts w:ascii="仿宋_GB2312" w:hAnsi="仿宋_GB2312" w:eastAsia="仿宋_GB2312" w:cs="仿宋_GB2312"/>
          <w:b/>
          <w:sz w:val="24"/>
        </w:rPr>
      </w:pPr>
      <w:bookmarkStart w:id="74" w:name="_Toc1266_WPSOffice_Level2"/>
      <w:bookmarkStart w:id="75" w:name="_Toc31052_WPSOffice_Level2"/>
      <w:r>
        <w:rPr>
          <w:rFonts w:hint="eastAsia" w:ascii="仿宋_GB2312" w:hAnsi="仿宋_GB2312" w:eastAsia="仿宋_GB2312" w:cs="仿宋_GB2312"/>
          <w:b/>
          <w:sz w:val="24"/>
        </w:rPr>
        <w:t>二、资格证明材料</w:t>
      </w:r>
      <w:bookmarkEnd w:id="74"/>
      <w:bookmarkEnd w:id="75"/>
      <w:r>
        <w:rPr>
          <w:rFonts w:hint="eastAsia" w:ascii="仿宋_GB2312" w:hAnsi="仿宋_GB2312" w:eastAsia="仿宋_GB2312" w:cs="仿宋_GB2312"/>
          <w:b/>
          <w:sz w:val="24"/>
        </w:rPr>
        <w:t>（有一项不符合要求，不能进入下一阶段评审）</w:t>
      </w:r>
    </w:p>
    <w:tbl>
      <w:tblPr>
        <w:tblStyle w:val="19"/>
        <w:tblW w:w="8418" w:type="dxa"/>
        <w:jc w:val="center"/>
        <w:tblLayout w:type="fixed"/>
        <w:tblCellMar>
          <w:top w:w="0" w:type="dxa"/>
          <w:left w:w="0" w:type="dxa"/>
          <w:bottom w:w="0" w:type="dxa"/>
          <w:right w:w="0" w:type="dxa"/>
        </w:tblCellMar>
      </w:tblPr>
      <w:tblGrid>
        <w:gridCol w:w="671"/>
        <w:gridCol w:w="6992"/>
        <w:gridCol w:w="755"/>
      </w:tblGrid>
      <w:tr>
        <w:tblPrEx>
          <w:tblCellMar>
            <w:top w:w="0" w:type="dxa"/>
            <w:left w:w="0" w:type="dxa"/>
            <w:bottom w:w="0" w:type="dxa"/>
            <w:right w:w="0" w:type="dxa"/>
          </w:tblCellMar>
        </w:tblPrEx>
        <w:trPr>
          <w:trHeight w:val="539" w:hRule="atLeast"/>
          <w:tblHeader/>
          <w:jc w:val="center"/>
        </w:trPr>
        <w:tc>
          <w:tcPr>
            <w:tcW w:w="67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bookmarkStart w:id="76" w:name="sys_资格性证明材料：Document"/>
            <w:bookmarkStart w:id="77" w:name="资格性证明材料：Document"/>
            <w:r>
              <w:rPr>
                <w:rFonts w:hint="eastAsia" w:ascii="仿宋_GB2312" w:hAnsi="仿宋_GB2312" w:eastAsia="仿宋_GB2312" w:cs="仿宋_GB2312"/>
                <w:szCs w:val="21"/>
              </w:rPr>
              <w:t>序号</w:t>
            </w:r>
          </w:p>
        </w:tc>
        <w:tc>
          <w:tcPr>
            <w:tcW w:w="6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资格证明材料</w:t>
            </w:r>
          </w:p>
        </w:tc>
        <w:tc>
          <w:tcPr>
            <w:tcW w:w="7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格式</w:t>
            </w:r>
          </w:p>
        </w:tc>
      </w:tr>
      <w:tr>
        <w:tblPrEx>
          <w:tblCellMar>
            <w:top w:w="0" w:type="dxa"/>
            <w:left w:w="0" w:type="dxa"/>
            <w:bottom w:w="0" w:type="dxa"/>
            <w:right w:w="0" w:type="dxa"/>
          </w:tblCellMar>
        </w:tblPrEx>
        <w:trPr>
          <w:trHeight w:val="789" w:hRule="atLeast"/>
          <w:jc w:val="center"/>
        </w:trPr>
        <w:tc>
          <w:tcPr>
            <w:tcW w:w="67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营业执照或事业单位法人证书或执业许可证等证明文件复印件或自然人的身份证明复印件（自然人身份证明仅在自然人作为投标主体时适用）</w:t>
            </w:r>
          </w:p>
        </w:tc>
        <w:tc>
          <w:tcPr>
            <w:tcW w:w="7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6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组织机构代码证复印件（三证合一的不需提供）</w:t>
            </w:r>
          </w:p>
        </w:tc>
        <w:tc>
          <w:tcPr>
            <w:tcW w:w="7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6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税务登记证复印件（三证合一的不需提供）</w:t>
            </w:r>
          </w:p>
        </w:tc>
        <w:tc>
          <w:tcPr>
            <w:tcW w:w="7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6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法定代表人（或非法人组织负责人）身份证明书（自然人投标的无需提供）</w:t>
            </w:r>
          </w:p>
        </w:tc>
        <w:tc>
          <w:tcPr>
            <w:tcW w:w="7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4</w:t>
            </w:r>
          </w:p>
        </w:tc>
      </w:tr>
      <w:tr>
        <w:tblPrEx>
          <w:tblCellMar>
            <w:top w:w="0" w:type="dxa"/>
            <w:left w:w="0" w:type="dxa"/>
            <w:bottom w:w="0" w:type="dxa"/>
            <w:right w:w="0"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6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法定代表人（或非法人组织负责人）授权委托书（授权委托人参加投标的须提供）</w:t>
            </w:r>
          </w:p>
        </w:tc>
        <w:tc>
          <w:tcPr>
            <w:tcW w:w="7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5</w:t>
            </w:r>
          </w:p>
        </w:tc>
      </w:tr>
      <w:tr>
        <w:tblPrEx>
          <w:tblCellMar>
            <w:top w:w="0" w:type="dxa"/>
            <w:left w:w="0" w:type="dxa"/>
            <w:bottom w:w="0" w:type="dxa"/>
            <w:right w:w="0" w:type="dxa"/>
          </w:tblCellMar>
        </w:tblPrEx>
        <w:trPr>
          <w:trHeight w:val="529" w:hRule="atLeast"/>
          <w:jc w:val="center"/>
        </w:trPr>
        <w:tc>
          <w:tcPr>
            <w:tcW w:w="67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6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具有良好的商业信誉和健全的财务会计制度的承诺函</w:t>
            </w:r>
          </w:p>
        </w:tc>
        <w:tc>
          <w:tcPr>
            <w:tcW w:w="7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6</w:t>
            </w:r>
          </w:p>
        </w:tc>
      </w:tr>
      <w:tr>
        <w:tblPrEx>
          <w:tblCellMar>
            <w:top w:w="0" w:type="dxa"/>
            <w:left w:w="0" w:type="dxa"/>
            <w:bottom w:w="0" w:type="dxa"/>
            <w:right w:w="0" w:type="dxa"/>
          </w:tblCellMar>
        </w:tblPrEx>
        <w:trPr>
          <w:trHeight w:val="1049" w:hRule="atLeast"/>
          <w:jc w:val="center"/>
        </w:trPr>
        <w:tc>
          <w:tcPr>
            <w:tcW w:w="67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6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开标时间前六个月内任一个月的依法缴纳税收的缴款凭据复印件</w:t>
            </w:r>
          </w:p>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（注：依法免税的供应商，应提供相关证明材料，包括相关法规要求原文及加盖单位公章的情况说明）</w:t>
            </w:r>
          </w:p>
        </w:tc>
        <w:tc>
          <w:tcPr>
            <w:tcW w:w="7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1049" w:hRule="atLeast"/>
          <w:jc w:val="center"/>
        </w:trPr>
        <w:tc>
          <w:tcPr>
            <w:tcW w:w="67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6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开标时间前六个月内任一个月的依法缴纳社会保障资金的缴款凭据复印件（注：依法不需要缴纳社会保障资金的供应商，应提供相关证明材料，包括相关法规要求原文及加盖单位公章的情况说明）</w:t>
            </w:r>
          </w:p>
        </w:tc>
        <w:tc>
          <w:tcPr>
            <w:tcW w:w="7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459" w:hRule="atLeast"/>
          <w:jc w:val="center"/>
        </w:trPr>
        <w:tc>
          <w:tcPr>
            <w:tcW w:w="67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9</w:t>
            </w:r>
          </w:p>
        </w:tc>
        <w:tc>
          <w:tcPr>
            <w:tcW w:w="6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具备履行合同所必需的设备和专业技术能力声明函</w:t>
            </w:r>
          </w:p>
        </w:tc>
        <w:tc>
          <w:tcPr>
            <w:tcW w:w="7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7</w:t>
            </w:r>
          </w:p>
        </w:tc>
      </w:tr>
      <w:tr>
        <w:tblPrEx>
          <w:tblCellMar>
            <w:top w:w="0" w:type="dxa"/>
            <w:left w:w="0" w:type="dxa"/>
            <w:bottom w:w="0" w:type="dxa"/>
            <w:right w:w="0" w:type="dxa"/>
          </w:tblCellMar>
        </w:tblPrEx>
        <w:trPr>
          <w:trHeight w:val="543" w:hRule="atLeast"/>
          <w:jc w:val="center"/>
        </w:trPr>
        <w:tc>
          <w:tcPr>
            <w:tcW w:w="67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10</w:t>
            </w:r>
          </w:p>
        </w:tc>
        <w:tc>
          <w:tcPr>
            <w:tcW w:w="6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参加政府采购活动前3年内在经营活动中没有重大违法记录的书面声明</w:t>
            </w:r>
          </w:p>
        </w:tc>
        <w:tc>
          <w:tcPr>
            <w:tcW w:w="7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8</w:t>
            </w:r>
          </w:p>
        </w:tc>
      </w:tr>
      <w:tr>
        <w:tblPrEx>
          <w:tblCellMar>
            <w:top w:w="0" w:type="dxa"/>
            <w:left w:w="0" w:type="dxa"/>
            <w:bottom w:w="0" w:type="dxa"/>
            <w:right w:w="0"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6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其它资格证明文件</w:t>
            </w:r>
          </w:p>
        </w:tc>
        <w:tc>
          <w:tcPr>
            <w:tcW w:w="7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789" w:hRule="atLeast"/>
          <w:jc w:val="center"/>
        </w:trPr>
        <w:tc>
          <w:tcPr>
            <w:tcW w:w="67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14</w:t>
            </w:r>
          </w:p>
        </w:tc>
        <w:tc>
          <w:tcPr>
            <w:tcW w:w="6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信用记录（</w:t>
            </w:r>
            <w:r>
              <w:rPr>
                <w:rFonts w:hint="eastAsia" w:ascii="仿宋_GB2312" w:hAnsi="仿宋" w:eastAsia="仿宋_GB2312" w:cs="仿宋_GB2312"/>
                <w:szCs w:val="21"/>
              </w:rPr>
              <w:t>提供</w:t>
            </w:r>
            <w:r>
              <w:rPr>
                <w:rFonts w:hint="eastAsia" w:ascii="仿宋_GB2312" w:hAnsi="仿宋_GB2312" w:eastAsia="仿宋_GB2312" w:cs="仿宋_GB2312"/>
                <w:color w:val="auto"/>
                <w:szCs w:val="21"/>
              </w:rPr>
              <w:t>中国政府采购网（www.ccgp.gov.cn）或在“信用中国”网站（www.creditchina.gov.cn</w:t>
            </w:r>
            <w:r>
              <w:rPr>
                <w:rFonts w:hint="eastAsia" w:ascii="仿宋_GB2312" w:hAnsi="仿宋" w:eastAsia="仿宋_GB2312" w:cs="仿宋_GB2312"/>
                <w:szCs w:val="21"/>
              </w:rPr>
              <w:t>网页截图</w:t>
            </w:r>
            <w:r>
              <w:rPr>
                <w:rFonts w:hint="eastAsia" w:ascii="仿宋_GB2312" w:hAnsi="仿宋" w:eastAsia="仿宋_GB2312"/>
              </w:rPr>
              <w:t>）</w:t>
            </w:r>
          </w:p>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联合体各方均需查询（如适用）</w:t>
            </w:r>
          </w:p>
        </w:tc>
        <w:tc>
          <w:tcPr>
            <w:tcW w:w="7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bl>
    <w:p>
      <w:pPr>
        <w:snapToGrid w:val="0"/>
        <w:spacing w:before="159" w:beforeLines="50"/>
        <w:rPr>
          <w:rFonts w:ascii="仿宋_GB2312" w:hAnsi="仿宋_GB2312" w:eastAsia="仿宋_GB2312" w:cs="仿宋_GB2312"/>
          <w:b/>
          <w:sz w:val="24"/>
        </w:rPr>
      </w:pPr>
      <w:bookmarkStart w:id="78" w:name="_Toc22359_WPSOffice_Level2"/>
      <w:bookmarkStart w:id="79" w:name="_Toc25206_WPSOffice_Level2"/>
      <w:r>
        <w:rPr>
          <w:rFonts w:hint="eastAsia" w:ascii="仿宋_GB2312" w:hAnsi="仿宋_GB2312" w:eastAsia="仿宋_GB2312" w:cs="仿宋_GB2312"/>
          <w:b/>
          <w:sz w:val="24"/>
        </w:rPr>
        <w:t>三、符合性证明材料</w:t>
      </w:r>
      <w:bookmarkEnd w:id="78"/>
      <w:bookmarkEnd w:id="79"/>
      <w:r>
        <w:rPr>
          <w:rFonts w:hint="eastAsia" w:ascii="仿宋_GB2312" w:hAnsi="仿宋_GB2312" w:eastAsia="仿宋_GB2312" w:cs="仿宋_GB2312"/>
          <w:b/>
          <w:sz w:val="24"/>
        </w:rPr>
        <w:t>（有一项不符合要求，不能进入下一阶段评审）</w:t>
      </w:r>
    </w:p>
    <w:bookmarkEnd w:id="76"/>
    <w:bookmarkEnd w:id="77"/>
    <w:tbl>
      <w:tblPr>
        <w:tblStyle w:val="19"/>
        <w:tblW w:w="8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6986"/>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jc w:val="center"/>
        </w:trPr>
        <w:tc>
          <w:tcPr>
            <w:tcW w:w="667" w:type="dxa"/>
            <w:noWrap w:val="0"/>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序号</w:t>
            </w:r>
          </w:p>
        </w:tc>
        <w:tc>
          <w:tcPr>
            <w:tcW w:w="6986" w:type="dxa"/>
            <w:noWrap w:val="0"/>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符合性证明材料</w:t>
            </w:r>
          </w:p>
        </w:tc>
        <w:tc>
          <w:tcPr>
            <w:tcW w:w="756" w:type="dxa"/>
            <w:noWrap w:val="0"/>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noWrap w:val="0"/>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6986" w:type="dxa"/>
            <w:noWrap w:val="0"/>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投标函</w:t>
            </w:r>
          </w:p>
        </w:tc>
        <w:tc>
          <w:tcPr>
            <w:tcW w:w="756" w:type="dxa"/>
            <w:noWrap w:val="0"/>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noWrap w:val="0"/>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6986" w:type="dxa"/>
            <w:noWrap w:val="0"/>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递交投标保证金证明材料复印件</w:t>
            </w:r>
          </w:p>
        </w:tc>
        <w:tc>
          <w:tcPr>
            <w:tcW w:w="756" w:type="dxa"/>
            <w:noWrap w:val="0"/>
            <w:vAlign w:val="center"/>
          </w:tcPr>
          <w:p>
            <w:pPr>
              <w:adjustRightInd w:val="0"/>
              <w:snapToGrid w:val="0"/>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noWrap w:val="0"/>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6986" w:type="dxa"/>
            <w:noWrap w:val="0"/>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开标一览表</w:t>
            </w:r>
          </w:p>
        </w:tc>
        <w:tc>
          <w:tcPr>
            <w:tcW w:w="756" w:type="dxa"/>
            <w:noWrap w:val="0"/>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noWrap w:val="0"/>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6986" w:type="dxa"/>
            <w:noWrap w:val="0"/>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分项报价表</w:t>
            </w:r>
          </w:p>
        </w:tc>
        <w:tc>
          <w:tcPr>
            <w:tcW w:w="756" w:type="dxa"/>
            <w:noWrap w:val="0"/>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noWrap w:val="0"/>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6986" w:type="dxa"/>
            <w:noWrap w:val="0"/>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技术规格偏离表</w:t>
            </w:r>
          </w:p>
        </w:tc>
        <w:tc>
          <w:tcPr>
            <w:tcW w:w="756" w:type="dxa"/>
            <w:noWrap w:val="0"/>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noWrap w:val="0"/>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6986" w:type="dxa"/>
            <w:noWrap w:val="0"/>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商务条款偏离表</w:t>
            </w:r>
          </w:p>
        </w:tc>
        <w:tc>
          <w:tcPr>
            <w:tcW w:w="756" w:type="dxa"/>
            <w:noWrap w:val="0"/>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noWrap w:val="0"/>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w:t>
            </w:r>
          </w:p>
        </w:tc>
        <w:tc>
          <w:tcPr>
            <w:tcW w:w="6986" w:type="dxa"/>
            <w:noWrap w:val="0"/>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投标人关联单位说明</w:t>
            </w:r>
          </w:p>
        </w:tc>
        <w:tc>
          <w:tcPr>
            <w:tcW w:w="756" w:type="dxa"/>
            <w:noWrap w:val="0"/>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667" w:type="dxa"/>
            <w:noWrap w:val="0"/>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9</w:t>
            </w:r>
          </w:p>
        </w:tc>
        <w:tc>
          <w:tcPr>
            <w:tcW w:w="6986" w:type="dxa"/>
            <w:noWrap w:val="0"/>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其他符合性证明材料：</w:t>
            </w:r>
          </w:p>
          <w:p>
            <w:pPr>
              <w:adjustRightInd w:val="0"/>
              <w:snapToGrid w:val="0"/>
              <w:rPr>
                <w:rFonts w:ascii="仿宋_GB2312" w:hAnsi="仿宋_GB2312" w:eastAsia="仿宋_GB2312" w:cs="仿宋_GB2312"/>
                <w:kern w:val="0"/>
                <w:szCs w:val="21"/>
              </w:rPr>
            </w:pPr>
            <w:r>
              <w:rPr>
                <w:rFonts w:hint="eastAsia" w:ascii="宋体" w:hAnsi="宋体" w:eastAsia="宋体" w:cs="宋体"/>
                <w:b/>
                <w:bCs/>
                <w:sz w:val="24"/>
                <w:szCs w:val="24"/>
                <w:lang w:eastAsia="zh-CN"/>
              </w:rPr>
              <w:t>依据货物需求中列出的国家标准进行质量检测，并各项指标检验符合规定，投标人投标时提供所投产品生产厂家委托有资质的第三方检测机构出具的全项检验合格报告（近一年内的）复印件并加盖生产厂家鲜章，检验报告必须包含但不限于上述参数要求的指标项，如不提供、提供的检测报告各项指标检验不符合规定或少于上述指标项参数要求的，视为无效投标</w:t>
            </w:r>
          </w:p>
        </w:tc>
        <w:tc>
          <w:tcPr>
            <w:tcW w:w="756" w:type="dxa"/>
            <w:noWrap w:val="0"/>
            <w:vAlign w:val="center"/>
          </w:tcPr>
          <w:p>
            <w:pPr>
              <w:adjustRightInd w:val="0"/>
              <w:snapToGrid w:val="0"/>
              <w:jc w:val="center"/>
              <w:rPr>
                <w:rFonts w:ascii="仿宋_GB2312" w:hAnsi="仿宋_GB2312" w:eastAsia="仿宋_GB2312" w:cs="仿宋_GB2312"/>
                <w:kern w:val="0"/>
                <w:szCs w:val="21"/>
              </w:rPr>
            </w:pPr>
          </w:p>
        </w:tc>
      </w:tr>
    </w:tbl>
    <w:p>
      <w:pPr>
        <w:adjustRightInd w:val="0"/>
        <w:snapToGrid w:val="0"/>
        <w:spacing w:line="360" w:lineRule="auto"/>
        <w:ind w:firstLine="480" w:firstLineChars="200"/>
        <w:rPr>
          <w:rFonts w:ascii="仿宋_GB2312" w:hAnsi="仿宋_GB2312" w:eastAsia="仿宋_GB2312" w:cs="仿宋_GB2312"/>
          <w:b/>
          <w:sz w:val="24"/>
        </w:rPr>
      </w:pPr>
      <w:bookmarkStart w:id="80" w:name="_Toc24011_WPSOffice_Level2"/>
      <w:bookmarkStart w:id="81" w:name="_Toc23127_WPSOffice_Level2"/>
      <w:r>
        <w:rPr>
          <w:rFonts w:hint="eastAsia" w:ascii="仿宋_GB2312" w:hAnsi="仿宋_GB2312" w:eastAsia="仿宋_GB2312" w:cs="仿宋_GB2312"/>
          <w:b/>
          <w:sz w:val="24"/>
        </w:rPr>
        <w:t>重要提示：</w:t>
      </w:r>
      <w:bookmarkEnd w:id="80"/>
      <w:bookmarkEnd w:id="81"/>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1、投标人提供的证明材料，除需要投标人填报或有特殊说明外，均须按要求提供。</w:t>
      </w:r>
      <w:r>
        <w:rPr>
          <w:rFonts w:hint="eastAsia" w:ascii="仿宋_GB2312" w:hAnsi="仿宋_GB2312" w:eastAsia="仿宋_GB2312" w:cs="仿宋_GB2312"/>
          <w:b/>
          <w:bCs/>
          <w:szCs w:val="21"/>
        </w:rPr>
        <w:t xml:space="preserve"> </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2、投标人在编制投标文件时，对于给定格式的文件内容，必须按照给定的标准格式进行填报；对于没有给定标准格式的文件内容，可以由投标人自行设计。</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3、投标文件应用中文书写。投标文件中所附或所引用的材料不是中文时，应附中文译本，并加盖单位公章（自然人投标的，无需加盖单位公章，需要签字）。</w:t>
      </w:r>
    </w:p>
    <w:p>
      <w:pPr>
        <w:adjustRightInd w:val="0"/>
        <w:snapToGrid w:val="0"/>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szCs w:val="21"/>
        </w:rPr>
        <w:t>4、</w:t>
      </w:r>
      <w:r>
        <w:rPr>
          <w:rFonts w:hint="eastAsia" w:ascii="仿宋_GB2312" w:hAnsi="仿宋_GB2312" w:eastAsia="仿宋_GB2312" w:cs="仿宋_GB2312"/>
          <w:b/>
          <w:bCs/>
          <w:szCs w:val="21"/>
        </w:rPr>
        <w:t>“资格证明材料”</w:t>
      </w:r>
      <w:r>
        <w:rPr>
          <w:rFonts w:hint="eastAsia" w:ascii="仿宋_GB2312" w:hAnsi="仿宋_GB2312" w:eastAsia="仿宋_GB2312" w:cs="仿宋_GB2312"/>
        </w:rPr>
        <w:t>所列内容即为采购项目的资格审查条件，有一项不符合要求，不能进入下一阶段评审。</w:t>
      </w:r>
    </w:p>
    <w:p>
      <w:pPr>
        <w:adjustRightInd w:val="0"/>
        <w:snapToGrid w:val="0"/>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5、</w:t>
      </w:r>
      <w:r>
        <w:rPr>
          <w:rFonts w:hint="eastAsia" w:ascii="仿宋_GB2312" w:hAnsi="仿宋_GB2312" w:eastAsia="仿宋_GB2312" w:cs="仿宋_GB2312"/>
          <w:b/>
          <w:bCs/>
          <w:szCs w:val="21"/>
        </w:rPr>
        <w:t>“符合性证明材料”</w:t>
      </w:r>
      <w:r>
        <w:rPr>
          <w:rFonts w:hint="eastAsia" w:ascii="仿宋_GB2312" w:hAnsi="仿宋_GB2312" w:eastAsia="仿宋_GB2312" w:cs="仿宋_GB2312"/>
        </w:rPr>
        <w:t>所列内容即为采购项目的符合性审查条件，有一项不符合要求，不能进入下一阶段评审。</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rPr>
        <w:t>6、</w:t>
      </w:r>
      <w:r>
        <w:rPr>
          <w:rFonts w:hint="eastAsia" w:ascii="仿宋_GB2312" w:hAnsi="仿宋_GB2312" w:eastAsia="仿宋_GB2312" w:cs="仿宋_GB2312"/>
          <w:szCs w:val="21"/>
        </w:rPr>
        <w:t>“其他材料”</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szCs w:val="21"/>
        </w:rPr>
        <w:t>（1）</w:t>
      </w:r>
      <w:r>
        <w:rPr>
          <w:rFonts w:hint="eastAsia" w:ascii="仿宋_GB2312" w:hAnsi="仿宋_GB2312" w:eastAsia="仿宋_GB2312" w:cs="仿宋_GB2312"/>
          <w:kern w:val="0"/>
          <w:szCs w:val="21"/>
        </w:rPr>
        <w:t>综合评分法：</w:t>
      </w:r>
      <w:r>
        <w:rPr>
          <w:rFonts w:hint="eastAsia" w:ascii="仿宋_GB2312" w:hAnsi="仿宋_GB2312" w:eastAsia="仿宋_GB2312" w:cs="仿宋_GB2312"/>
          <w:szCs w:val="21"/>
        </w:rPr>
        <w:t>投标人可就</w:t>
      </w:r>
      <w:r>
        <w:rPr>
          <w:rFonts w:hint="eastAsia" w:ascii="仿宋_GB2312" w:hAnsi="仿宋_GB2312" w:eastAsia="仿宋_GB2312" w:cs="仿宋_GB2312"/>
          <w:kern w:val="0"/>
          <w:szCs w:val="21"/>
        </w:rPr>
        <w:t>招标文件要求以及评分细则中各项要求提供相应材料。</w:t>
      </w:r>
    </w:p>
    <w:p>
      <w:pPr>
        <w:snapToGrid w:val="0"/>
        <w:spacing w:line="276" w:lineRule="auto"/>
        <w:ind w:firstLine="420" w:firstLineChars="200"/>
        <w:jc w:val="left"/>
        <w:rPr>
          <w:rFonts w:ascii="仿宋_GB2312" w:hAnsi="仿宋_GB2312" w:eastAsia="仿宋_GB2312" w:cs="仿宋_GB2312"/>
          <w:szCs w:val="21"/>
        </w:rPr>
      </w:pPr>
    </w:p>
    <w:p>
      <w:pPr>
        <w:snapToGrid w:val="0"/>
        <w:spacing w:line="276" w:lineRule="auto"/>
        <w:ind w:firstLine="420" w:firstLineChars="200"/>
        <w:jc w:val="left"/>
        <w:rPr>
          <w:rFonts w:ascii="仿宋_GB2312" w:hAnsi="仿宋_GB2312" w:eastAsia="仿宋_GB2312" w:cs="仿宋_GB2312"/>
          <w:szCs w:val="21"/>
        </w:rPr>
      </w:pPr>
    </w:p>
    <w:p>
      <w:pPr>
        <w:rPr>
          <w:rFonts w:ascii="仿宋_GB2312" w:hAnsi="仿宋_GB2312" w:eastAsia="仿宋_GB2312" w:cs="仿宋_GB2312"/>
        </w:rPr>
      </w:pPr>
      <w:r>
        <w:rPr>
          <w:rFonts w:hint="eastAsia" w:ascii="仿宋_GB2312" w:hAnsi="仿宋_GB2312" w:eastAsia="仿宋_GB2312" w:cs="仿宋_GB2312"/>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w:t>
      </w:r>
    </w:p>
    <w:p>
      <w:pPr>
        <w:jc w:val="center"/>
        <w:rPr>
          <w:rFonts w:ascii="仿宋_GB2312" w:hAnsi="仿宋_GB2312" w:eastAsia="仿宋_GB2312" w:cs="仿宋_GB2312"/>
          <w:b/>
          <w:bCs/>
          <w:sz w:val="32"/>
          <w:szCs w:val="32"/>
        </w:rPr>
      </w:pPr>
      <w:bookmarkStart w:id="82" w:name="_Toc26322_WPSOffice_Level2"/>
      <w:bookmarkStart w:id="83" w:name="_Toc21090_WPSOffice_Level2"/>
      <w:r>
        <w:rPr>
          <w:rFonts w:hint="eastAsia" w:ascii="仿宋_GB2312" w:hAnsi="仿宋_GB2312" w:eastAsia="仿宋_GB2312" w:cs="仿宋_GB2312"/>
          <w:b/>
          <w:bCs/>
          <w:sz w:val="32"/>
          <w:szCs w:val="32"/>
        </w:rPr>
        <w:t>投标文件外封面、封口格式</w:t>
      </w:r>
      <w:bookmarkEnd w:id="82"/>
      <w:bookmarkEnd w:id="83"/>
    </w:p>
    <w:p>
      <w:pPr>
        <w:rPr>
          <w:rFonts w:ascii="仿宋_GB2312" w:hAnsi="仿宋_GB2312" w:eastAsia="仿宋_GB2312" w:cs="仿宋_GB2312"/>
        </w:rPr>
      </w:pPr>
      <w:r>
        <w:rPr>
          <w:rFonts w:hint="eastAsia" w:ascii="仿宋_GB2312" w:hAnsi="仿宋_GB2312" w:eastAsia="仿宋_GB2312" w:cs="仿宋_GB2312"/>
          <w:sz w:val="28"/>
          <w:szCs w:val="28"/>
        </w:rPr>
        <w:t>封面格式：</w:t>
      </w:r>
    </w:p>
    <w:tbl>
      <w:tblPr>
        <w:tblStyle w:val="19"/>
        <w:tblW w:w="5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0" w:hRule="atLeast"/>
          <w:jc w:val="center"/>
        </w:trPr>
        <w:tc>
          <w:tcPr>
            <w:tcW w:w="5960" w:type="dxa"/>
            <w:noWrap w:val="0"/>
            <w:vAlign w:val="top"/>
          </w:tcPr>
          <w:p>
            <w:pPr>
              <w:jc w:val="center"/>
              <w:rPr>
                <w:rFonts w:ascii="仿宋_GB2312" w:hAnsi="仿宋_GB2312" w:eastAsia="仿宋_GB2312" w:cs="仿宋_GB2312"/>
                <w:b/>
                <w:bCs/>
              </w:rPr>
            </w:pPr>
          </w:p>
          <w:p>
            <w:pPr>
              <w:jc w:val="center"/>
              <w:rPr>
                <w:rFonts w:ascii="仿宋_GB2312" w:hAnsi="仿宋_GB2312" w:eastAsia="仿宋_GB2312" w:cs="仿宋_GB2312"/>
                <w:b/>
                <w:bCs/>
              </w:rPr>
            </w:pPr>
          </w:p>
          <w:p>
            <w:pPr>
              <w:jc w:val="center"/>
              <w:rPr>
                <w:rFonts w:ascii="仿宋_GB2312" w:hAnsi="仿宋_GB2312" w:eastAsia="仿宋_GB2312" w:cs="仿宋_GB2312"/>
                <w:b/>
                <w:bCs/>
              </w:rPr>
            </w:pPr>
          </w:p>
          <w:p>
            <w:pPr>
              <w:jc w:val="center"/>
              <w:rPr>
                <w:rFonts w:ascii="仿宋_GB2312" w:hAnsi="仿宋_GB2312" w:eastAsia="仿宋_GB2312" w:cs="仿宋_GB2312"/>
                <w:b/>
                <w:bCs/>
              </w:rPr>
            </w:pPr>
          </w:p>
          <w:p>
            <w:pPr>
              <w:jc w:val="center"/>
              <w:rPr>
                <w:rFonts w:ascii="仿宋_GB2312" w:hAnsi="仿宋_GB2312" w:eastAsia="仿宋_GB2312" w:cs="仿宋_GB2312"/>
                <w:b/>
                <w:bCs/>
              </w:rPr>
            </w:pPr>
          </w:p>
          <w:p>
            <w:pPr>
              <w:jc w:val="center"/>
              <w:rPr>
                <w:rFonts w:ascii="仿宋_GB2312" w:hAnsi="仿宋_GB2312" w:eastAsia="仿宋_GB2312" w:cs="仿宋_GB2312"/>
                <w:b/>
                <w:bCs/>
              </w:rPr>
            </w:pPr>
            <w:r>
              <w:rPr>
                <w:rFonts w:hint="eastAsia" w:ascii="仿宋_GB2312" w:hAnsi="仿宋_GB2312" w:eastAsia="仿宋_GB2312" w:cs="仿宋_GB2312"/>
                <w:b/>
                <w:bCs/>
                <w:sz w:val="44"/>
                <w:szCs w:val="52"/>
              </w:rPr>
              <w:t>投标文件</w:t>
            </w: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所投包号：第  包</w:t>
            </w:r>
          </w:p>
          <w:p>
            <w:pPr>
              <w:jc w:val="left"/>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项目名称：</w:t>
            </w:r>
          </w:p>
          <w:p>
            <w:pPr>
              <w:jc w:val="left"/>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项目编号：</w:t>
            </w: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投标人名称（加盖单位公章）</w:t>
            </w:r>
          </w:p>
        </w:tc>
      </w:tr>
    </w:tbl>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r>
        <w:rPr>
          <w:rFonts w:hint="eastAsia" w:ascii="仿宋_GB2312" w:hAnsi="仿宋_GB2312" w:eastAsia="仿宋_GB2312" w:cs="仿宋_GB2312"/>
          <w:sz w:val="24"/>
          <w:szCs w:val="32"/>
        </w:rPr>
        <w:t>封口格式：</w:t>
      </w:r>
    </w:p>
    <w:tbl>
      <w:tblPr>
        <w:tblStyle w:val="19"/>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8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rPr>
            </w:pPr>
            <w:r>
              <w:rPr>
                <w:rFonts w:hint="eastAsia" w:ascii="仿宋_GB2312" w:hAnsi="仿宋_GB2312" w:eastAsia="仿宋_GB2312" w:cs="仿宋_GB2312"/>
              </w:rPr>
              <w:t>——于   年  月  日   时之前不准启封（公章）——</w:t>
            </w:r>
          </w:p>
        </w:tc>
      </w:tr>
    </w:tbl>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格式2</w:t>
      </w:r>
    </w:p>
    <w:p>
      <w:pPr>
        <w:jc w:val="center"/>
        <w:rPr>
          <w:rFonts w:ascii="仿宋_GB2312" w:hAnsi="仿宋_GB2312" w:eastAsia="仿宋_GB2312" w:cs="仿宋_GB2312"/>
          <w:b/>
          <w:bCs/>
          <w:sz w:val="32"/>
          <w:szCs w:val="32"/>
        </w:rPr>
      </w:pPr>
      <w:r>
        <w:rPr>
          <w:rFonts w:ascii="仿宋_GB2312" w:hAnsi="仿宋_GB2312" w:eastAsia="仿宋_GB2312" w:cs="仿宋_GB2312"/>
          <w:sz w:val="32"/>
        </w:rPr>
        <mc:AlternateContent>
          <mc:Choice Requires="wps">
            <w:drawing>
              <wp:anchor distT="0" distB="0" distL="114300" distR="114300" simplePos="0" relativeHeight="251659264" behindDoc="0" locked="0" layoutInCell="1" allowOverlap="1">
                <wp:simplePos x="0" y="0"/>
                <wp:positionH relativeFrom="column">
                  <wp:posOffset>3878580</wp:posOffset>
                </wp:positionH>
                <wp:positionV relativeFrom="paragraph">
                  <wp:posOffset>361315</wp:posOffset>
                </wp:positionV>
                <wp:extent cx="1253490" cy="563245"/>
                <wp:effectExtent l="5080" t="4445" r="17780" b="22860"/>
                <wp:wrapNone/>
                <wp:docPr id="2" name="文本框 2"/>
                <wp:cNvGraphicFramePr/>
                <a:graphic xmlns:a="http://schemas.openxmlformats.org/drawingml/2006/main">
                  <a:graphicData uri="http://schemas.microsoft.com/office/word/2010/wordprocessingShape">
                    <wps:wsp>
                      <wps:cNvSpPr txBox="1"/>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wps:txbx>
                      <wps:bodyPr wrap="square" upright="1"/>
                    </wps:wsp>
                  </a:graphicData>
                </a:graphic>
              </wp:anchor>
            </w:drawing>
          </mc:Choice>
          <mc:Fallback>
            <w:pict>
              <v:shape id="_x0000_s1026" o:spid="_x0000_s1026" o:spt="202" type="#_x0000_t202" style="position:absolute;left:0pt;margin-left:305.4pt;margin-top:28.45pt;height:44.35pt;width:98.7pt;z-index:251659264;mso-width-relative:page;mso-height-relative:page;" fillcolor="#FFFFFF" filled="t" stroked="t" coordsize="21600,21600" o:gfxdata="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1XXs+2QAAAAoB&#10;AAAPAAAAAAAAAAEAIAAAACIAAABkcnMvZG93bnJldi54bWxQSwECFAAUAAAACACHTuJAIeVfCRoC&#10;AABSBAAADgAAAAAAAAABACAAAAAoAQAAZHJzL2Uyb0RvYy54bWxQSwUGAAAAAAYABgBZAQAAtAUA&#10;AAAA&#10;">
                <v:fill on="t" focussize="0,0"/>
                <v:stroke color="#000000" joinstyle="miter"/>
                <v:imagedata o:title=""/>
                <o:lock v:ext="edit" aspectratio="f"/>
                <v:textbo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v:textbox>
              </v:shape>
            </w:pict>
          </mc:Fallback>
        </mc:AlternateContent>
      </w:r>
      <w:r>
        <w:rPr>
          <w:rFonts w:hint="eastAsia" w:ascii="仿宋_GB2312" w:hAnsi="仿宋_GB2312" w:eastAsia="仿宋_GB2312" w:cs="仿宋_GB2312"/>
          <w:b/>
          <w:bCs/>
          <w:sz w:val="32"/>
          <w:szCs w:val="32"/>
        </w:rPr>
        <w:t>投标文件的封皮</w:t>
      </w: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jc w:val="center"/>
        <w:rPr>
          <w:rFonts w:ascii="仿宋_GB2312" w:hAnsi="仿宋_GB2312" w:eastAsia="仿宋_GB2312" w:cs="仿宋_GB2312"/>
          <w:b/>
          <w:bCs/>
          <w:sz w:val="52"/>
          <w:szCs w:val="52"/>
        </w:rPr>
      </w:pPr>
      <w:r>
        <w:rPr>
          <w:rFonts w:hint="eastAsia" w:ascii="仿宋_GB2312" w:hAnsi="仿宋_GB2312" w:eastAsia="仿宋_GB2312" w:cs="仿宋_GB2312"/>
          <w:b/>
          <w:bCs/>
          <w:sz w:val="52"/>
          <w:szCs w:val="52"/>
        </w:rPr>
        <w:t>投  标  文  件</w:t>
      </w: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所投包号：第  包</w:t>
      </w:r>
      <w:r>
        <w:rPr>
          <w:rFonts w:hint="eastAsia" w:ascii="仿宋_GB2312" w:hAnsi="仿宋_GB2312" w:eastAsia="仿宋_GB2312" w:cs="仿宋_GB2312"/>
          <w:sz w:val="28"/>
          <w:szCs w:val="28"/>
          <w:lang w:val="en-US" w:eastAsia="zh-CN"/>
        </w:rPr>
        <w:t xml:space="preserve">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项目编号：</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格式3</w:t>
      </w:r>
    </w:p>
    <w:p>
      <w:pPr>
        <w:spacing w:before="319" w:beforeLines="100" w:after="319" w:afterLines="100" w:line="360" w:lineRule="auto"/>
        <w:ind w:right="-21" w:rightChars="-10"/>
        <w:jc w:val="center"/>
        <w:rPr>
          <w:rFonts w:ascii="仿宋_GB2312" w:hAnsi="仿宋_GB2312" w:eastAsia="仿宋_GB2312" w:cs="仿宋_GB2312"/>
          <w:b/>
          <w:sz w:val="32"/>
          <w:szCs w:val="32"/>
        </w:rPr>
      </w:pPr>
      <w:bookmarkStart w:id="84" w:name="_Toc2304_WPSOffice_Level2"/>
      <w:bookmarkStart w:id="85" w:name="_Toc21414_WPSOffice_Level2"/>
      <w:r>
        <w:rPr>
          <w:rFonts w:hint="eastAsia" w:ascii="仿宋_GB2312" w:hAnsi="仿宋_GB2312" w:eastAsia="仿宋_GB2312" w:cs="仿宋_GB2312"/>
          <w:b/>
          <w:sz w:val="32"/>
          <w:szCs w:val="32"/>
        </w:rPr>
        <w:t>目  录</w:t>
      </w:r>
      <w:bookmarkEnd w:id="84"/>
      <w:bookmarkEnd w:id="85"/>
    </w:p>
    <w:p>
      <w:pPr>
        <w:rPr>
          <w:rFonts w:ascii="仿宋_GB2312" w:hAnsi="仿宋_GB2312" w:eastAsia="仿宋_GB2312" w:cs="仿宋_GB2312"/>
        </w:rPr>
      </w:pPr>
      <w:bookmarkStart w:id="86" w:name="_Toc30940_WPSOffice_Level2"/>
      <w:bookmarkStart w:id="87" w:name="_Toc7636_WPSOffice_Level2"/>
      <w:r>
        <w:rPr>
          <w:rFonts w:hint="eastAsia" w:ascii="仿宋_GB2312" w:hAnsi="仿宋_GB2312" w:eastAsia="仿宋_GB2312" w:cs="仿宋_GB2312"/>
        </w:rPr>
        <w:t>一、资格证明材料</w:t>
      </w:r>
      <w:bookmarkEnd w:id="86"/>
      <w:bookmarkEnd w:id="87"/>
    </w:p>
    <w:p>
      <w:pPr>
        <w:rPr>
          <w:rFonts w:ascii="仿宋_GB2312" w:hAnsi="仿宋_GB2312" w:eastAsia="仿宋_GB2312" w:cs="仿宋_GB2312"/>
        </w:rPr>
      </w:pPr>
      <w:r>
        <w:rPr>
          <w:rFonts w:hint="eastAsia" w:ascii="仿宋_GB2312" w:hAnsi="仿宋_GB2312" w:eastAsia="仿宋_GB2312" w:cs="仿宋_GB2312"/>
        </w:rPr>
        <w:t>……</w:t>
      </w:r>
    </w:p>
    <w:p>
      <w:pPr>
        <w:rPr>
          <w:rFonts w:ascii="仿宋_GB2312" w:hAnsi="仿宋_GB2312" w:eastAsia="仿宋_GB2312" w:cs="仿宋_GB2312"/>
        </w:rPr>
      </w:pPr>
      <w:bookmarkStart w:id="88" w:name="_Toc31702_WPSOffice_Level2"/>
      <w:bookmarkStart w:id="89" w:name="_Toc13950_WPSOffice_Level2"/>
      <w:r>
        <w:rPr>
          <w:rFonts w:hint="eastAsia" w:ascii="仿宋_GB2312" w:hAnsi="仿宋_GB2312" w:eastAsia="仿宋_GB2312" w:cs="仿宋_GB2312"/>
        </w:rPr>
        <w:t>二、符合性证明材料</w:t>
      </w:r>
      <w:bookmarkEnd w:id="88"/>
      <w:bookmarkEnd w:id="89"/>
    </w:p>
    <w:p>
      <w:pPr>
        <w:rPr>
          <w:rFonts w:ascii="仿宋_GB2312" w:hAnsi="仿宋_GB2312" w:eastAsia="仿宋_GB2312" w:cs="仿宋_GB2312"/>
        </w:rPr>
      </w:pPr>
      <w:r>
        <w:rPr>
          <w:rFonts w:hint="eastAsia" w:ascii="仿宋_GB2312" w:hAnsi="仿宋_GB2312" w:eastAsia="仿宋_GB2312" w:cs="仿宋_GB2312"/>
        </w:rPr>
        <w:t>……</w:t>
      </w: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adjustRightInd w:val="0"/>
        <w:snapToGrid w:val="0"/>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我单位的投标文件由资格证明材料、符合性证明材料</w:t>
      </w:r>
      <w:r>
        <w:rPr>
          <w:rFonts w:hint="eastAsia" w:ascii="仿宋_GB2312" w:hAnsi="仿宋_GB2312" w:eastAsia="仿宋_GB2312" w:cs="仿宋_GB2312"/>
          <w:lang w:eastAsia="zh-CN"/>
        </w:rPr>
        <w:t>两</w:t>
      </w:r>
      <w:r>
        <w:rPr>
          <w:rFonts w:hint="eastAsia" w:ascii="仿宋_GB2312" w:hAnsi="仿宋_GB2312" w:eastAsia="仿宋_GB2312" w:cs="仿宋_GB2312"/>
        </w:rPr>
        <w:t>部分组成，在此加盖单位公章并由法定代表人（或非法人组织负责人）或其授权代表人签字，保证投标文件中所有材料真实、有效。</w:t>
      </w:r>
    </w:p>
    <w:p>
      <w:pPr>
        <w:spacing w:line="360" w:lineRule="auto"/>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其授权代表人(签字或盖章)：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rPr>
        <w:br w:type="page"/>
      </w:r>
      <w:r>
        <w:rPr>
          <w:rFonts w:hint="eastAsia" w:ascii="仿宋_GB2312" w:hAnsi="仿宋_GB2312" w:eastAsia="仿宋_GB2312" w:cs="仿宋_GB2312"/>
          <w:szCs w:val="28"/>
        </w:rPr>
        <w:t>格式4</w:t>
      </w:r>
    </w:p>
    <w:p>
      <w:pPr>
        <w:spacing w:before="319" w:beforeLines="100" w:after="319" w:afterLines="100" w:line="360" w:lineRule="auto"/>
        <w:ind w:right="-21" w:rightChars="-10"/>
        <w:jc w:val="center"/>
        <w:rPr>
          <w:rFonts w:ascii="仿宋_GB2312" w:hAnsi="仿宋_GB2312" w:eastAsia="仿宋_GB2312" w:cs="仿宋_GB2312"/>
          <w:b/>
          <w:sz w:val="32"/>
          <w:szCs w:val="32"/>
        </w:rPr>
      </w:pPr>
      <w:bookmarkStart w:id="90" w:name="_Toc3401_WPSOffice_Level2"/>
      <w:bookmarkStart w:id="91" w:name="_Toc16924_WPSOffice_Level2"/>
      <w:r>
        <w:rPr>
          <w:rFonts w:hint="eastAsia" w:ascii="仿宋_GB2312" w:hAnsi="仿宋_GB2312" w:eastAsia="仿宋_GB2312" w:cs="仿宋_GB2312"/>
          <w:b/>
          <w:sz w:val="32"/>
          <w:szCs w:val="32"/>
        </w:rPr>
        <w:t>法定代表人（或非法人组织负责人）身份证明书</w:t>
      </w:r>
      <w:bookmarkEnd w:id="90"/>
      <w:bookmarkEnd w:id="91"/>
    </w:p>
    <w:p>
      <w:pPr>
        <w:spacing w:line="360" w:lineRule="auto"/>
        <w:ind w:firstLine="840" w:firstLineChars="400"/>
        <w:rPr>
          <w:rFonts w:ascii="仿宋_GB2312" w:hAnsi="仿宋_GB2312" w:eastAsia="仿宋_GB2312" w:cs="仿宋_GB2312"/>
          <w:szCs w:val="21"/>
        </w:rPr>
      </w:pPr>
      <w:r>
        <w:rPr>
          <w:rFonts w:hint="eastAsia" w:ascii="仿宋_GB2312" w:hAnsi="仿宋_GB2312" w:eastAsia="仿宋_GB2312" w:cs="仿宋_GB2312"/>
          <w:szCs w:val="21"/>
        </w:rPr>
        <w:t>姓名：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，性别：</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，出生日期：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，现任职务：</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，系</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（投标人名称）的法定代表人（或非法人组织负责人）。</w:t>
      </w:r>
    </w:p>
    <w:p>
      <w:pPr>
        <w:rPr>
          <w:rFonts w:ascii="仿宋_GB2312" w:hAnsi="仿宋_GB2312" w:eastAsia="仿宋_GB2312" w:cs="仿宋_GB2312"/>
          <w:szCs w:val="21"/>
        </w:rPr>
      </w:pPr>
    </w:p>
    <w:p>
      <w:pPr>
        <w:rPr>
          <w:rFonts w:ascii="仿宋_GB2312" w:hAnsi="仿宋_GB2312" w:eastAsia="仿宋_GB2312" w:cs="仿宋_GB2312"/>
          <w:szCs w:val="21"/>
        </w:rPr>
      </w:pPr>
      <w:r>
        <w:rPr>
          <w:rFonts w:hint="eastAsia" w:ascii="仿宋_GB2312" w:hAnsi="仿宋_GB2312" w:eastAsia="仿宋_GB2312" w:cs="仿宋_GB2312"/>
          <w:szCs w:val="21"/>
        </w:rPr>
        <w:t>特此证明。</w:t>
      </w: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tbl>
      <w:tblPr>
        <w:tblStyle w:val="19"/>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noWrap w:val="0"/>
            <w:vAlign w:val="top"/>
          </w:tcPr>
          <w:p>
            <w:pPr>
              <w:jc w:val="center"/>
              <w:rPr>
                <w:rFonts w:ascii="仿宋_GB2312" w:hAnsi="仿宋_GB2312" w:eastAsia="仿宋_GB2312" w:cs="仿宋_GB2312"/>
                <w:szCs w:val="21"/>
              </w:rPr>
            </w:pPr>
            <w:r>
              <w:rPr>
                <w:rFonts w:hint="eastAsia" w:ascii="仿宋_GB2312" w:hAnsi="仿宋_GB2312" w:eastAsia="仿宋_GB2312" w:cs="仿宋_GB2312"/>
                <w:szCs w:val="21"/>
              </w:rPr>
              <w:t>（※法定代表人（或非法人组织负责人）身份证正、反面复印件※）</w:t>
            </w:r>
          </w:p>
        </w:tc>
      </w:tr>
    </w:tbl>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spacing w:line="480" w:lineRule="auto"/>
        <w:rPr>
          <w:rFonts w:ascii="仿宋_GB2312" w:hAnsi="仿宋_GB2312" w:eastAsia="仿宋_GB2312" w:cs="仿宋_GB2312"/>
          <w:u w:val="single"/>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rPr>
          <w:rFonts w:ascii="仿宋_GB2312" w:hAnsi="仿宋_GB2312" w:eastAsia="仿宋_GB2312" w:cs="仿宋_GB2312"/>
        </w:rPr>
      </w:pPr>
    </w:p>
    <w:p>
      <w:pPr>
        <w:rPr>
          <w:rFonts w:ascii="仿宋_GB2312" w:hAnsi="仿宋_GB2312" w:eastAsia="仿宋_GB2312" w:cs="仿宋_GB2312"/>
          <w:szCs w:val="21"/>
        </w:rPr>
      </w:pPr>
      <w:r>
        <w:rPr>
          <w:rFonts w:hint="eastAsia" w:ascii="仿宋_GB2312" w:hAnsi="仿宋_GB2312" w:eastAsia="仿宋_GB2312" w:cs="仿宋_GB2312"/>
          <w:szCs w:val="21"/>
        </w:rPr>
        <w:br w:type="page"/>
      </w:r>
    </w:p>
    <w:p>
      <w:pPr>
        <w:pStyle w:val="4"/>
        <w:adjustRightInd w:val="0"/>
        <w:snapToGrid w:val="0"/>
        <w:spacing w:before="0" w:after="0" w:line="240" w:lineRule="auto"/>
        <w:jc w:val="left"/>
        <w:rPr>
          <w:rFonts w:ascii="仿宋_GB2312" w:hAnsi="仿宋_GB2312" w:eastAsia="仿宋_GB2312" w:cs="仿宋_GB2312"/>
          <w:b w:val="0"/>
          <w:bCs/>
          <w:sz w:val="32"/>
          <w:szCs w:val="32"/>
        </w:rPr>
      </w:pPr>
      <w:r>
        <w:rPr>
          <w:rFonts w:hint="eastAsia" w:ascii="仿宋_GB2312" w:hAnsi="仿宋_GB2312" w:eastAsia="仿宋_GB2312" w:cs="仿宋_GB2312"/>
          <w:szCs w:val="28"/>
        </w:rPr>
        <w:t>格式5</w:t>
      </w:r>
      <w:bookmarkStart w:id="92" w:name="_Toc21833_WPSOffice_Level2"/>
      <w:bookmarkStart w:id="93" w:name="_Toc122_WPSOffice_Level2"/>
    </w:p>
    <w:p>
      <w:pPr>
        <w:spacing w:before="319" w:beforeLines="100" w:after="319" w:afterLines="100" w:line="360" w:lineRule="auto"/>
        <w:ind w:right="-21" w:rightChars="-1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法定代表人（或非法人组织负责人）授权委托书</w:t>
      </w:r>
      <w:bookmarkEnd w:id="92"/>
      <w:bookmarkEnd w:id="93"/>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委托人（单位名称）：</w:t>
      </w:r>
      <w:r>
        <w:rPr>
          <w:rFonts w:hint="eastAsia" w:ascii="仿宋_GB2312" w:hAnsi="仿宋_GB2312" w:eastAsia="仿宋_GB2312" w:cs="仿宋_GB2312"/>
          <w:szCs w:val="21"/>
          <w:u w:val="single"/>
        </w:rPr>
        <w:t xml:space="preserve">                </w:t>
      </w:r>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法定代表人（或非法人组织负责人）姓名：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身份证号码：</w:t>
      </w:r>
      <w:r>
        <w:rPr>
          <w:rFonts w:hint="eastAsia" w:ascii="仿宋_GB2312" w:hAnsi="仿宋_GB2312" w:eastAsia="仿宋_GB2312" w:cs="仿宋_GB2312"/>
          <w:szCs w:val="21"/>
          <w:u w:val="single"/>
        </w:rPr>
        <w:t xml:space="preserve">         </w:t>
      </w:r>
    </w:p>
    <w:p>
      <w:pPr>
        <w:tabs>
          <w:tab w:val="left" w:pos="5205"/>
        </w:tabs>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住所地：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rPr>
        <w:tab/>
      </w:r>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受托人名称：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身份证号码：</w:t>
      </w:r>
      <w:r>
        <w:rPr>
          <w:rFonts w:hint="eastAsia" w:ascii="仿宋_GB2312" w:hAnsi="仿宋_GB2312" w:eastAsia="仿宋_GB2312" w:cs="仿宋_GB2312"/>
          <w:szCs w:val="21"/>
          <w:u w:val="single"/>
        </w:rPr>
        <w:t xml:space="preserve">         </w:t>
      </w:r>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工作单位：</w:t>
      </w:r>
      <w:r>
        <w:rPr>
          <w:rFonts w:hint="eastAsia" w:ascii="仿宋_GB2312" w:hAnsi="仿宋_GB2312" w:eastAsia="仿宋_GB2312" w:cs="仿宋_GB2312"/>
          <w:szCs w:val="21"/>
          <w:u w:val="single"/>
        </w:rPr>
        <w:t xml:space="preserve">                  </w:t>
      </w:r>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住址：</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电话：</w:t>
      </w:r>
      <w:r>
        <w:rPr>
          <w:rFonts w:hint="eastAsia" w:ascii="仿宋_GB2312" w:hAnsi="仿宋_GB2312" w:eastAsia="仿宋_GB2312" w:cs="仿宋_GB2312"/>
          <w:szCs w:val="21"/>
          <w:u w:val="single"/>
        </w:rPr>
        <w:t xml:space="preserve">               </w:t>
      </w:r>
    </w:p>
    <w:p>
      <w:pPr>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现委托</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就</w:t>
      </w:r>
      <w:r>
        <w:rPr>
          <w:rFonts w:hint="eastAsia" w:ascii="仿宋_GB2312" w:hAnsi="仿宋_GB2312" w:eastAsia="仿宋_GB2312" w:cs="仿宋_GB2312"/>
          <w:szCs w:val="21"/>
          <w:u w:val="single"/>
        </w:rPr>
        <w:t>（项目编号、项目名称、包号）</w:t>
      </w:r>
      <w:r>
        <w:rPr>
          <w:rFonts w:hint="eastAsia" w:ascii="仿宋_GB2312" w:hAnsi="仿宋_GB2312" w:eastAsia="仿宋_GB2312" w:cs="仿宋_GB2312"/>
          <w:szCs w:val="21"/>
        </w:rPr>
        <w:t>投标中，以我单位名义处理一切与之有关的事务。</w:t>
      </w:r>
    </w:p>
    <w:p>
      <w:pPr>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本授权书于</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日签字或盖章生效，无转委托，特此声明。</w:t>
      </w:r>
    </w:p>
    <w:p>
      <w:pPr>
        <w:spacing w:line="360" w:lineRule="auto"/>
        <w:rPr>
          <w:rFonts w:ascii="仿宋_GB2312" w:hAnsi="仿宋_GB2312" w:eastAsia="仿宋_GB2312" w:cs="仿宋_GB2312"/>
          <w:szCs w:val="21"/>
        </w:rPr>
      </w:pPr>
    </w:p>
    <w:tbl>
      <w:tblPr>
        <w:tblStyle w:val="19"/>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noWrap w:val="0"/>
            <w:vAlign w:val="top"/>
          </w:tcPr>
          <w:p>
            <w:pPr>
              <w:jc w:val="center"/>
              <w:rPr>
                <w:rFonts w:ascii="仿宋_GB2312" w:hAnsi="仿宋_GB2312" w:eastAsia="仿宋_GB2312" w:cs="仿宋_GB2312"/>
                <w:szCs w:val="21"/>
              </w:rPr>
            </w:pPr>
            <w:r>
              <w:rPr>
                <w:rFonts w:hint="eastAsia" w:ascii="仿宋_GB2312" w:hAnsi="仿宋_GB2312" w:eastAsia="仿宋_GB2312" w:cs="仿宋_GB2312"/>
                <w:szCs w:val="21"/>
              </w:rPr>
              <w:t>（※受托人身份证正、反面复印件※）</w:t>
            </w:r>
          </w:p>
        </w:tc>
      </w:tr>
    </w:tbl>
    <w:p>
      <w:pPr>
        <w:spacing w:line="360" w:lineRule="auto"/>
        <w:rPr>
          <w:rFonts w:ascii="仿宋_GB2312" w:hAnsi="仿宋_GB2312" w:eastAsia="仿宋_GB2312" w:cs="仿宋_GB2312"/>
          <w:szCs w:val="21"/>
        </w:rPr>
      </w:pP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委托人（加盖单位公章）：</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法定代表人（或非法人组织负责人）（签字或盖章）：</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w:t>
      </w: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受托人（签字或盖章）：</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详细通讯地址：</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邮政编码 ：</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rPr>
        <w:t>传        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电     话：</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rPr>
        <w:t>日        期:</w:t>
      </w:r>
      <w:r>
        <w:rPr>
          <w:rFonts w:hint="eastAsia" w:ascii="仿宋_GB2312" w:hAnsi="仿宋_GB2312" w:eastAsia="仿宋_GB2312" w:cs="仿宋_GB2312"/>
          <w:szCs w:val="21"/>
          <w:u w:val="single"/>
        </w:rPr>
        <w:t xml:space="preserve">                       </w:t>
      </w:r>
    </w:p>
    <w:p>
      <w:pPr>
        <w:rPr>
          <w:rFonts w:ascii="仿宋_GB2312" w:hAnsi="仿宋_GB2312" w:eastAsia="仿宋_GB2312" w:cs="仿宋_GB2312"/>
          <w:szCs w:val="28"/>
        </w:rPr>
      </w:pPr>
      <w:r>
        <w:rPr>
          <w:rFonts w:hint="eastAsia" w:ascii="仿宋_GB2312" w:hAnsi="仿宋_GB2312" w:eastAsia="仿宋_GB2312" w:cs="仿宋_GB2312"/>
          <w:szCs w:val="28"/>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格式6</w:t>
      </w:r>
    </w:p>
    <w:p>
      <w:pPr>
        <w:spacing w:before="319" w:beforeLines="100" w:after="319" w:afterLines="100" w:line="360" w:lineRule="auto"/>
        <w:ind w:right="-21" w:rightChars="-1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具有良好的商业信誉和健全的财务会计制度的承诺函</w:t>
      </w:r>
    </w:p>
    <w:p>
      <w:pPr>
        <w:spacing w:before="319" w:beforeLines="100" w:after="319" w:afterLines="100" w:line="480" w:lineRule="exact"/>
        <w:ind w:right="630" w:rightChars="3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（格式自拟）</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其授权代表人(签字或盖章)：</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p>
    <w:p>
      <w:pPr>
        <w:rPr>
          <w:rFonts w:ascii="仿宋_GB2312" w:hAnsi="仿宋_GB2312" w:eastAsia="仿宋_GB2312" w:cs="仿宋_GB2312"/>
          <w:szCs w:val="28"/>
        </w:rPr>
      </w:pPr>
      <w:r>
        <w:rPr>
          <w:rFonts w:hint="eastAsia" w:ascii="仿宋_GB2312" w:hAnsi="仿宋_GB2312" w:eastAsia="仿宋_GB2312" w:cs="仿宋_GB2312"/>
          <w:szCs w:val="28"/>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格式7</w:t>
      </w:r>
    </w:p>
    <w:p>
      <w:pPr>
        <w:spacing w:before="319" w:beforeLines="100" w:after="319" w:afterLines="100" w:line="360" w:lineRule="auto"/>
        <w:ind w:right="-21" w:rightChars="-10"/>
        <w:jc w:val="center"/>
        <w:rPr>
          <w:rFonts w:ascii="仿宋_GB2312" w:hAnsi="仿宋_GB2312" w:eastAsia="仿宋_GB2312" w:cs="仿宋_GB2312"/>
          <w:b/>
          <w:sz w:val="32"/>
          <w:szCs w:val="32"/>
        </w:rPr>
      </w:pPr>
      <w:bookmarkStart w:id="94" w:name="_Toc23728_WPSOffice_Level2"/>
      <w:bookmarkStart w:id="95" w:name="_Toc12037_WPSOffice_Level2"/>
      <w:r>
        <w:rPr>
          <w:rFonts w:hint="eastAsia" w:ascii="仿宋_GB2312" w:hAnsi="仿宋_GB2312" w:eastAsia="仿宋_GB2312" w:cs="仿宋_GB2312"/>
          <w:b/>
          <w:sz w:val="32"/>
          <w:szCs w:val="32"/>
        </w:rPr>
        <w:t>具备履行合同所必需的设备和专业技术能力声明函</w:t>
      </w:r>
      <w:bookmarkEnd w:id="94"/>
      <w:bookmarkEnd w:id="95"/>
    </w:p>
    <w:p>
      <w:pPr>
        <w:spacing w:before="319" w:beforeLines="100" w:after="319" w:afterLines="100" w:line="480" w:lineRule="exact"/>
        <w:ind w:right="630" w:rightChars="300"/>
        <w:jc w:val="center"/>
        <w:rPr>
          <w:rFonts w:ascii="仿宋_GB2312" w:hAnsi="仿宋_GB2312" w:eastAsia="仿宋_GB2312" w:cs="仿宋_GB2312"/>
          <w:sz w:val="28"/>
          <w:szCs w:val="28"/>
        </w:rPr>
      </w:pPr>
      <w:bookmarkStart w:id="96" w:name="_Toc28831_WPSOffice_Level2"/>
      <w:bookmarkStart w:id="97" w:name="_Toc1917_WPSOffice_Level2"/>
      <w:r>
        <w:rPr>
          <w:rFonts w:hint="eastAsia" w:ascii="仿宋_GB2312" w:hAnsi="仿宋_GB2312" w:eastAsia="仿宋_GB2312" w:cs="仿宋_GB2312"/>
          <w:sz w:val="28"/>
          <w:szCs w:val="28"/>
        </w:rPr>
        <w:t>（格式自拟）</w:t>
      </w:r>
      <w:bookmarkEnd w:id="96"/>
      <w:bookmarkEnd w:id="97"/>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其授权代表人(签字或盖章)：</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p>
    <w:p>
      <w:pPr>
        <w:adjustRightInd w:val="0"/>
        <w:snapToGrid w:val="0"/>
        <w:spacing w:line="360" w:lineRule="auto"/>
        <w:ind w:right="105" w:rightChars="50"/>
        <w:jc w:val="left"/>
        <w:rPr>
          <w:rFonts w:ascii="仿宋_GB2312" w:hAnsi="仿宋_GB2312" w:eastAsia="仿宋_GB2312" w:cs="仿宋_GB2312"/>
          <w:b/>
          <w:sz w:val="28"/>
          <w:szCs w:val="28"/>
        </w:rPr>
      </w:pPr>
    </w:p>
    <w:p>
      <w:pPr>
        <w:widowControl/>
        <w:jc w:val="left"/>
        <w:rPr>
          <w:rFonts w:ascii="仿宋_GB2312" w:hAnsi="仿宋_GB2312" w:eastAsia="仿宋_GB2312" w:cs="仿宋_GB2312"/>
          <w:b/>
          <w:sz w:val="28"/>
          <w:szCs w:val="28"/>
        </w:rPr>
      </w:pPr>
      <w:r>
        <w:rPr>
          <w:rFonts w:hint="eastAsia" w:ascii="仿宋_GB2312" w:hAnsi="仿宋_GB2312" w:eastAsia="仿宋_GB2312" w:cs="仿宋_GB2312"/>
          <w:szCs w:val="28"/>
        </w:rPr>
        <w:br w:type="page"/>
      </w:r>
    </w:p>
    <w:p>
      <w:pPr>
        <w:pStyle w:val="4"/>
        <w:adjustRightInd w:val="0"/>
        <w:snapToGrid w:val="0"/>
        <w:spacing w:before="0" w:after="0" w:line="240" w:lineRule="auto"/>
        <w:jc w:val="left"/>
        <w:rPr>
          <w:rFonts w:ascii="仿宋_GB2312" w:hAnsi="仿宋_GB2312" w:eastAsia="仿宋_GB2312" w:cs="仿宋_GB2312"/>
        </w:rPr>
      </w:pPr>
      <w:r>
        <w:rPr>
          <w:rFonts w:hint="eastAsia" w:ascii="仿宋_GB2312" w:hAnsi="仿宋_GB2312" w:eastAsia="仿宋_GB2312" w:cs="仿宋_GB2312"/>
          <w:szCs w:val="28"/>
        </w:rPr>
        <w:t>格式8</w:t>
      </w:r>
    </w:p>
    <w:p>
      <w:pPr>
        <w:spacing w:before="319" w:beforeLines="100" w:after="319" w:afterLines="100" w:line="360" w:lineRule="auto"/>
        <w:ind w:right="-21" w:rightChars="-1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w:t>
      </w:r>
      <w:bookmarkStart w:id="98" w:name="_Toc11967_WPSOffice_Level2"/>
      <w:bookmarkStart w:id="99" w:name="_Toc7498_WPSOffice_Level2"/>
      <w:r>
        <w:rPr>
          <w:rFonts w:hint="eastAsia" w:ascii="仿宋_GB2312" w:hAnsi="仿宋_GB2312" w:eastAsia="仿宋_GB2312" w:cs="仿宋_GB2312"/>
          <w:b/>
          <w:sz w:val="32"/>
          <w:szCs w:val="32"/>
        </w:rPr>
        <w:t>参加政府采购活动前3年内在经营活动中没有重大违法记录的书面声明</w:t>
      </w:r>
      <w:bookmarkEnd w:id="98"/>
      <w:bookmarkEnd w:id="99"/>
    </w:p>
    <w:p>
      <w:pPr>
        <w:spacing w:line="360" w:lineRule="auto"/>
        <w:ind w:right="630" w:rightChars="300"/>
        <w:rPr>
          <w:rFonts w:ascii="仿宋_GB2312" w:hAnsi="仿宋_GB2312" w:eastAsia="仿宋_GB2312" w:cs="仿宋_GB2312"/>
          <w:b/>
          <w:szCs w:val="21"/>
        </w:rPr>
      </w:pPr>
      <w:r>
        <w:rPr>
          <w:rFonts w:hint="eastAsia" w:ascii="仿宋_GB2312" w:hAnsi="仿宋_GB2312" w:eastAsia="仿宋_GB2312" w:cs="仿宋_GB2312"/>
          <w:b/>
          <w:szCs w:val="21"/>
          <w:u w:val="single"/>
        </w:rPr>
        <w:t xml:space="preserve">（采购人或采购代理机构名称） </w:t>
      </w:r>
      <w:r>
        <w:rPr>
          <w:rFonts w:hint="eastAsia" w:ascii="仿宋_GB2312" w:hAnsi="仿宋_GB2312" w:eastAsia="仿宋_GB2312" w:cs="仿宋_GB2312"/>
          <w:b/>
          <w:szCs w:val="21"/>
        </w:rPr>
        <w:t xml:space="preserve"> ：</w:t>
      </w:r>
    </w:p>
    <w:p>
      <w:pPr>
        <w:spacing w:line="360" w:lineRule="auto"/>
        <w:ind w:right="-21" w:rightChars="-10" w:firstLine="493" w:firstLineChars="235"/>
        <w:rPr>
          <w:rFonts w:ascii="仿宋_GB2312" w:hAnsi="仿宋_GB2312" w:eastAsia="仿宋_GB2312" w:cs="仿宋_GB2312"/>
          <w:szCs w:val="21"/>
        </w:rPr>
      </w:pPr>
      <w:r>
        <w:rPr>
          <w:rFonts w:hint="eastAsia" w:ascii="仿宋_GB2312" w:hAnsi="仿宋_GB2312" w:eastAsia="仿宋_GB2312" w:cs="仿宋_GB2312"/>
          <w:szCs w:val="21"/>
        </w:rPr>
        <w:t>在本项目投标文件截止时间前，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pPr>
        <w:tabs>
          <w:tab w:val="left" w:pos="10065"/>
        </w:tabs>
        <w:spacing w:line="360" w:lineRule="auto"/>
        <w:ind w:right="-21" w:rightChars="-10" w:firstLine="371" w:firstLineChars="177"/>
        <w:rPr>
          <w:rFonts w:ascii="仿宋_GB2312" w:hAnsi="仿宋_GB2312" w:eastAsia="仿宋_GB2312" w:cs="仿宋_GB2312"/>
          <w:szCs w:val="21"/>
        </w:rPr>
      </w:pPr>
      <w:r>
        <w:rPr>
          <w:rFonts w:hint="eastAsia" w:ascii="仿宋_GB2312" w:hAnsi="仿宋_GB2312" w:eastAsia="仿宋_GB2312" w:cs="仿宋_GB2312"/>
          <w:szCs w:val="21"/>
        </w:rPr>
        <w:t>如发现我单位提供的声明函不实时，我单位将按照《政府采购法》有关提供虚假材料的规定，接受处罚。</w:t>
      </w:r>
    </w:p>
    <w:p>
      <w:pPr>
        <w:spacing w:line="360" w:lineRule="auto"/>
        <w:ind w:right="1050" w:rightChars="50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特此声明。</w:t>
      </w:r>
    </w:p>
    <w:p>
      <w:pPr>
        <w:spacing w:line="500" w:lineRule="exact"/>
        <w:ind w:right="1050" w:rightChars="500"/>
        <w:rPr>
          <w:rFonts w:ascii="仿宋_GB2312" w:hAnsi="仿宋_GB2312" w:eastAsia="仿宋_GB2312" w:cs="仿宋_GB2312"/>
          <w:szCs w:val="21"/>
        </w:rPr>
      </w:pPr>
    </w:p>
    <w:p>
      <w:pPr>
        <w:spacing w:before="159" w:beforeLines="50" w:after="159" w:afterLines="50" w:line="400" w:lineRule="exact"/>
        <w:ind w:right="1050" w:rightChars="500"/>
        <w:rPr>
          <w:rFonts w:ascii="仿宋_GB2312" w:hAnsi="仿宋_GB2312" w:eastAsia="仿宋_GB2312" w:cs="仿宋_GB2312"/>
          <w:szCs w:val="21"/>
        </w:rPr>
      </w:pPr>
    </w:p>
    <w:p>
      <w:pPr>
        <w:spacing w:before="159" w:beforeLines="50" w:after="159" w:afterLines="50" w:line="400" w:lineRule="exact"/>
        <w:ind w:right="1050" w:rightChars="500"/>
        <w:rPr>
          <w:rFonts w:ascii="仿宋_GB2312" w:hAnsi="仿宋_GB2312" w:eastAsia="仿宋_GB2312" w:cs="仿宋_GB2312"/>
          <w:szCs w:val="21"/>
        </w:rPr>
      </w:pPr>
    </w:p>
    <w:p>
      <w:pPr>
        <w:spacing w:before="159" w:beforeLines="50" w:after="159" w:afterLines="50" w:line="400" w:lineRule="exact"/>
        <w:ind w:right="1050" w:rightChars="500"/>
        <w:rPr>
          <w:rFonts w:ascii="仿宋_GB2312" w:hAnsi="仿宋_GB2312" w:eastAsia="仿宋_GB2312" w:cs="仿宋_GB2312"/>
          <w:szCs w:val="21"/>
        </w:rPr>
      </w:pPr>
    </w:p>
    <w:p>
      <w:pPr>
        <w:spacing w:line="360" w:lineRule="exact"/>
        <w:ind w:right="1050" w:rightChars="500"/>
        <w:rPr>
          <w:rFonts w:ascii="仿宋_GB2312" w:hAnsi="仿宋_GB2312" w:eastAsia="仿宋_GB2312" w:cs="仿宋_GB2312"/>
          <w:szCs w:val="21"/>
        </w:rPr>
      </w:pPr>
    </w:p>
    <w:p>
      <w:pPr>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其授权代表人(签字或盖章)：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格式9</w:t>
      </w:r>
    </w:p>
    <w:p>
      <w:pPr>
        <w:spacing w:before="319" w:beforeLines="100" w:after="319" w:afterLines="100" w:line="360" w:lineRule="auto"/>
        <w:ind w:right="-21" w:rightChars="-1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w:t>
      </w:r>
      <w:bookmarkStart w:id="100" w:name="_Toc30548_WPSOffice_Level2"/>
      <w:bookmarkStart w:id="101" w:name="_Toc16873_WPSOffice_Level2"/>
      <w:r>
        <w:rPr>
          <w:rFonts w:hint="eastAsia" w:ascii="仿宋_GB2312" w:hAnsi="仿宋_GB2312" w:eastAsia="仿宋_GB2312" w:cs="仿宋_GB2312"/>
          <w:b/>
          <w:sz w:val="32"/>
          <w:szCs w:val="32"/>
        </w:rPr>
        <w:t>联合体协议书</w:t>
      </w:r>
      <w:bookmarkEnd w:id="100"/>
      <w:bookmarkEnd w:id="101"/>
    </w:p>
    <w:p>
      <w:pPr>
        <w:pStyle w:val="10"/>
        <w:spacing w:line="360" w:lineRule="auto"/>
        <w:rPr>
          <w:rFonts w:ascii="仿宋_GB2312" w:hAnsi="仿宋_GB2312" w:eastAsia="仿宋_GB2312" w:cs="仿宋_GB2312"/>
        </w:rPr>
      </w:pPr>
      <w:r>
        <w:rPr>
          <w:rFonts w:hint="eastAsia" w:ascii="仿宋_GB2312" w:hAnsi="仿宋_GB2312" w:eastAsia="仿宋_GB2312" w:cs="仿宋_GB2312"/>
          <w:u w:val="single"/>
        </w:rPr>
        <w:t>(采购人或采购代理机构)</w:t>
      </w:r>
      <w:r>
        <w:rPr>
          <w:rFonts w:hint="eastAsia" w:ascii="仿宋_GB2312" w:hAnsi="仿宋_GB2312" w:eastAsia="仿宋_GB2312" w:cs="仿宋_GB2312"/>
        </w:rPr>
        <w:t>：</w:t>
      </w:r>
    </w:p>
    <w:p>
      <w:pPr>
        <w:pStyle w:val="10"/>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经研究，我方决定自愿组成联合体共同参加</w:t>
      </w:r>
      <w:r>
        <w:rPr>
          <w:rFonts w:hint="eastAsia" w:ascii="仿宋_GB2312" w:hAnsi="仿宋_GB2312" w:eastAsia="仿宋_GB2312" w:cs="仿宋_GB2312"/>
          <w:u w:val="single"/>
        </w:rPr>
        <w:t>(项目名称、项目编号、包号)</w:t>
      </w:r>
      <w:r>
        <w:rPr>
          <w:rFonts w:hint="eastAsia" w:ascii="仿宋_GB2312" w:hAnsi="仿宋_GB2312" w:eastAsia="仿宋_GB2312" w:cs="仿宋_GB2312"/>
        </w:rPr>
        <w:t>项目的投标。现就联合体投标事宜订立如下协议：</w:t>
      </w:r>
    </w:p>
    <w:p>
      <w:pPr>
        <w:pStyle w:val="10"/>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一、联合体成员：</w:t>
      </w:r>
    </w:p>
    <w:p>
      <w:pPr>
        <w:pStyle w:val="10"/>
        <w:spacing w:line="360" w:lineRule="auto"/>
        <w:ind w:firstLine="420" w:firstLineChars="200"/>
        <w:rPr>
          <w:rFonts w:ascii="仿宋_GB2312" w:hAnsi="仿宋_GB2312" w:eastAsia="仿宋_GB2312" w:cs="仿宋_GB2312"/>
          <w:u w:val="single"/>
        </w:rPr>
      </w:pPr>
      <w:bookmarkStart w:id="102" w:name="_Toc23749_WPSOffice_Level2"/>
      <w:bookmarkStart w:id="103" w:name="_Toc15561_WPSOffice_Level2"/>
      <w:r>
        <w:rPr>
          <w:rFonts w:hint="eastAsia" w:ascii="仿宋_GB2312" w:hAnsi="仿宋_GB2312" w:eastAsia="仿宋_GB2312" w:cs="仿宋_GB2312"/>
        </w:rPr>
        <w:t>1.</w:t>
      </w:r>
      <w:bookmarkEnd w:id="102"/>
      <w:bookmarkEnd w:id="103"/>
      <w:r>
        <w:rPr>
          <w:rFonts w:hint="eastAsia" w:ascii="仿宋_GB2312" w:hAnsi="仿宋_GB2312" w:eastAsia="仿宋_GB2312" w:cs="仿宋_GB2312"/>
          <w:u w:val="single"/>
        </w:rPr>
        <w:t xml:space="preserve">                  </w:t>
      </w:r>
    </w:p>
    <w:p>
      <w:pPr>
        <w:pStyle w:val="10"/>
        <w:spacing w:line="360" w:lineRule="auto"/>
        <w:ind w:firstLine="420" w:firstLineChars="200"/>
        <w:rPr>
          <w:rFonts w:ascii="仿宋_GB2312" w:hAnsi="仿宋_GB2312" w:eastAsia="仿宋_GB2312" w:cs="仿宋_GB2312"/>
        </w:rPr>
      </w:pPr>
      <w:bookmarkStart w:id="104" w:name="_Toc22173_WPSOffice_Level2"/>
      <w:bookmarkStart w:id="105" w:name="_Toc405_WPSOffice_Level2"/>
      <w:r>
        <w:rPr>
          <w:rFonts w:hint="eastAsia" w:ascii="仿宋_GB2312" w:hAnsi="仿宋_GB2312" w:eastAsia="仿宋_GB2312" w:cs="仿宋_GB2312"/>
        </w:rPr>
        <w:t>2.</w:t>
      </w:r>
      <w:bookmarkEnd w:id="104"/>
      <w:bookmarkEnd w:id="105"/>
      <w:r>
        <w:rPr>
          <w:rFonts w:hint="eastAsia" w:ascii="仿宋_GB2312" w:hAnsi="仿宋_GB2312" w:eastAsia="仿宋_GB2312" w:cs="仿宋_GB2312"/>
          <w:u w:val="single"/>
        </w:rPr>
        <w:t xml:space="preserve">                  </w:t>
      </w:r>
    </w:p>
    <w:p>
      <w:pPr>
        <w:pStyle w:val="10"/>
        <w:spacing w:line="360" w:lineRule="auto"/>
        <w:ind w:firstLine="420" w:firstLineChars="200"/>
        <w:rPr>
          <w:rFonts w:ascii="仿宋_GB2312" w:hAnsi="仿宋_GB2312" w:eastAsia="仿宋_GB2312" w:cs="仿宋_GB2312"/>
        </w:rPr>
      </w:pPr>
      <w:bookmarkStart w:id="106" w:name="_Toc7084_WPSOffice_Level2"/>
      <w:bookmarkStart w:id="107" w:name="_Toc23482_WPSOffice_Level2"/>
      <w:r>
        <w:rPr>
          <w:rFonts w:hint="eastAsia" w:ascii="仿宋_GB2312" w:hAnsi="仿宋_GB2312" w:eastAsia="仿宋_GB2312" w:cs="仿宋_GB2312"/>
        </w:rPr>
        <w:t>3.</w:t>
      </w:r>
      <w:bookmarkEnd w:id="106"/>
      <w:bookmarkEnd w:id="107"/>
      <w:r>
        <w:rPr>
          <w:rFonts w:hint="eastAsia" w:ascii="仿宋_GB2312" w:hAnsi="仿宋_GB2312" w:eastAsia="仿宋_GB2312" w:cs="仿宋_GB2312"/>
          <w:u w:val="single"/>
        </w:rPr>
        <w:t xml:space="preserve">                  </w:t>
      </w:r>
    </w:p>
    <w:p>
      <w:pPr>
        <w:pStyle w:val="10"/>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u w:val="single"/>
        </w:rPr>
        <w:t>(某成员单位名称)</w:t>
      </w:r>
      <w:r>
        <w:rPr>
          <w:rFonts w:hint="eastAsia" w:ascii="仿宋_GB2312" w:hAnsi="仿宋_GB2312" w:eastAsia="仿宋_GB2312" w:cs="仿宋_GB2312"/>
        </w:rPr>
        <w:t>为(联合体名称)牵头人。</w:t>
      </w:r>
    </w:p>
    <w:p>
      <w:pPr>
        <w:pStyle w:val="10"/>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三、联合体牵头人合法代表联合体各成员负责本项目投标文件编制活动，代表联合体提交和接收相关的资料、信息及指示，并处理与投标或成交有关的一切事务；联合体成交后，联合体牵头人负责合同订立和合同实施阶段的主办、组织和协调工作。</w:t>
      </w:r>
    </w:p>
    <w:p>
      <w:pPr>
        <w:pStyle w:val="10"/>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四、联合体将严格按照招标文件的各项要求，递交投标文件，参加投标，履行中标义务和中标后的合同，并向采购人承担连带责任。</w:t>
      </w:r>
    </w:p>
    <w:p>
      <w:pPr>
        <w:pStyle w:val="10"/>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五、联合体各成员单位内部的职责分工如下：</w:t>
      </w:r>
      <w:r>
        <w:rPr>
          <w:rFonts w:hint="eastAsia" w:ascii="仿宋_GB2312" w:hAnsi="仿宋_GB2312" w:eastAsia="仿宋_GB2312" w:cs="仿宋_GB2312"/>
          <w:u w:val="single"/>
        </w:rPr>
        <w:t xml:space="preserve">                  </w:t>
      </w:r>
      <w:r>
        <w:rPr>
          <w:rFonts w:hint="eastAsia" w:ascii="仿宋_GB2312" w:hAnsi="仿宋_GB2312" w:eastAsia="仿宋_GB2312" w:cs="仿宋_GB2312"/>
        </w:rPr>
        <w:t>。按照本条上述分工，联合体成员单位各自所承担的合同工作量比例如下：</w:t>
      </w: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pPr>
        <w:pStyle w:val="10"/>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六、本协议书自签署之日起生效，合同履行完毕后自动失效。</w:t>
      </w:r>
    </w:p>
    <w:p>
      <w:pPr>
        <w:pStyle w:val="10"/>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七、本协议书一式</w:t>
      </w:r>
      <w:r>
        <w:rPr>
          <w:rFonts w:hint="eastAsia" w:ascii="仿宋_GB2312" w:hAnsi="仿宋_GB2312" w:eastAsia="仿宋_GB2312" w:cs="仿宋_GB2312"/>
          <w:u w:val="single"/>
        </w:rPr>
        <w:t xml:space="preserve">   </w:t>
      </w:r>
      <w:r>
        <w:rPr>
          <w:rFonts w:hint="eastAsia" w:ascii="仿宋_GB2312" w:hAnsi="仿宋_GB2312" w:eastAsia="仿宋_GB2312" w:cs="仿宋_GB2312"/>
        </w:rPr>
        <w:t>份，联合体成员和采购人各执</w:t>
      </w:r>
      <w:r>
        <w:rPr>
          <w:rFonts w:hint="eastAsia" w:ascii="仿宋_GB2312" w:hAnsi="仿宋_GB2312" w:eastAsia="仿宋_GB2312" w:cs="仿宋_GB2312"/>
          <w:u w:val="single"/>
        </w:rPr>
        <w:t xml:space="preserve">  </w:t>
      </w:r>
      <w:r>
        <w:rPr>
          <w:rFonts w:hint="eastAsia" w:ascii="仿宋_GB2312" w:hAnsi="仿宋_GB2312" w:eastAsia="仿宋_GB2312" w:cs="仿宋_GB2312"/>
        </w:rPr>
        <w:t>份。</w:t>
      </w:r>
    </w:p>
    <w:p>
      <w:pPr>
        <w:pStyle w:val="10"/>
        <w:spacing w:line="360" w:lineRule="auto"/>
        <w:ind w:firstLine="420" w:firstLineChars="200"/>
        <w:rPr>
          <w:rFonts w:ascii="仿宋_GB2312" w:hAnsi="仿宋_GB2312" w:eastAsia="仿宋_GB2312" w:cs="仿宋_GB2312"/>
        </w:rPr>
      </w:pPr>
    </w:p>
    <w:p>
      <w:pPr>
        <w:pStyle w:val="10"/>
        <w:spacing w:line="360" w:lineRule="auto"/>
        <w:rPr>
          <w:rFonts w:ascii="仿宋_GB2312" w:hAnsi="仿宋_GB2312" w:eastAsia="仿宋_GB2312" w:cs="仿宋_GB2312"/>
          <w:u w:val="single"/>
        </w:rPr>
      </w:pPr>
      <w:r>
        <w:rPr>
          <w:rFonts w:hint="eastAsia" w:ascii="仿宋_GB2312" w:hAnsi="仿宋_GB2312" w:eastAsia="仿宋_GB2312" w:cs="仿宋_GB2312"/>
        </w:rPr>
        <w:t>牵头人名称(加盖单位公章)：</w:t>
      </w:r>
      <w:r>
        <w:rPr>
          <w:rFonts w:hint="eastAsia" w:ascii="仿宋_GB2312" w:hAnsi="仿宋_GB2312" w:eastAsia="仿宋_GB2312" w:cs="仿宋_GB2312"/>
          <w:u w:val="single"/>
        </w:rPr>
        <w:t xml:space="preserve">                            </w:t>
      </w:r>
    </w:p>
    <w:p>
      <w:pPr>
        <w:pStyle w:val="10"/>
        <w:spacing w:line="360" w:lineRule="auto"/>
        <w:rPr>
          <w:rFonts w:ascii="仿宋_GB2312" w:hAnsi="仿宋_GB2312" w:eastAsia="仿宋_GB2312" w:cs="仿宋_GB2312"/>
        </w:rPr>
      </w:pPr>
      <w:r>
        <w:rPr>
          <w:rFonts w:hint="eastAsia" w:ascii="仿宋_GB2312" w:hAnsi="仿宋_GB2312" w:eastAsia="仿宋_GB2312" w:cs="仿宋_GB2312"/>
        </w:rPr>
        <w:t>法定代表人或其授权代表(签字或盖章)：</w:t>
      </w:r>
      <w:r>
        <w:rPr>
          <w:rFonts w:hint="eastAsia" w:ascii="仿宋_GB2312" w:hAnsi="仿宋_GB2312" w:eastAsia="仿宋_GB2312" w:cs="仿宋_GB2312"/>
          <w:u w:val="single"/>
        </w:rPr>
        <w:t xml:space="preserve">                  </w:t>
      </w:r>
    </w:p>
    <w:p>
      <w:pPr>
        <w:pStyle w:val="10"/>
        <w:spacing w:line="360" w:lineRule="auto"/>
        <w:ind w:firstLine="420" w:firstLineChars="200"/>
        <w:rPr>
          <w:rFonts w:ascii="仿宋_GB2312" w:hAnsi="仿宋_GB2312" w:eastAsia="仿宋_GB2312" w:cs="仿宋_GB2312"/>
        </w:rPr>
      </w:pPr>
    </w:p>
    <w:p>
      <w:pPr>
        <w:pStyle w:val="10"/>
        <w:spacing w:line="360" w:lineRule="auto"/>
        <w:rPr>
          <w:rFonts w:ascii="仿宋_GB2312" w:hAnsi="仿宋_GB2312" w:eastAsia="仿宋_GB2312" w:cs="仿宋_GB2312"/>
          <w:u w:val="single"/>
        </w:rPr>
      </w:pPr>
      <w:r>
        <w:rPr>
          <w:rFonts w:hint="eastAsia" w:ascii="仿宋_GB2312" w:hAnsi="仿宋_GB2312" w:eastAsia="仿宋_GB2312" w:cs="仿宋_GB2312"/>
        </w:rPr>
        <w:t>成员名称(加盖单位公章)：</w:t>
      </w:r>
      <w:r>
        <w:rPr>
          <w:rFonts w:hint="eastAsia" w:ascii="仿宋_GB2312" w:hAnsi="仿宋_GB2312" w:eastAsia="仿宋_GB2312" w:cs="仿宋_GB2312"/>
          <w:u w:val="single"/>
        </w:rPr>
        <w:t xml:space="preserve">                              </w:t>
      </w:r>
    </w:p>
    <w:p>
      <w:pPr>
        <w:pStyle w:val="10"/>
        <w:spacing w:line="360" w:lineRule="auto"/>
        <w:rPr>
          <w:rFonts w:ascii="仿宋_GB2312" w:hAnsi="仿宋_GB2312" w:eastAsia="仿宋_GB2312" w:cs="仿宋_GB2312"/>
          <w:u w:val="single"/>
        </w:rPr>
      </w:pPr>
      <w:r>
        <w:rPr>
          <w:rFonts w:hint="eastAsia" w:ascii="仿宋_GB2312" w:hAnsi="仿宋_GB2312" w:eastAsia="仿宋_GB2312" w:cs="仿宋_GB2312"/>
        </w:rPr>
        <w:t>法定代表人或其授权代表(签字或盖章)：</w:t>
      </w:r>
      <w:r>
        <w:rPr>
          <w:rFonts w:hint="eastAsia" w:ascii="仿宋_GB2312" w:hAnsi="仿宋_GB2312" w:eastAsia="仿宋_GB2312" w:cs="仿宋_GB2312"/>
          <w:u w:val="single"/>
        </w:rPr>
        <w:t xml:space="preserve">                  </w:t>
      </w:r>
    </w:p>
    <w:p>
      <w:pPr>
        <w:spacing w:line="360" w:lineRule="exact"/>
        <w:ind w:right="1050" w:rightChars="500"/>
        <w:jc w:val="left"/>
        <w:rPr>
          <w:rFonts w:ascii="仿宋_GB2312" w:hAnsi="仿宋_GB2312" w:eastAsia="仿宋_GB2312" w:cs="仿宋_GB2312"/>
          <w:szCs w:val="21"/>
          <w:u w:val="single"/>
        </w:rPr>
      </w:pPr>
      <w:r>
        <w:rPr>
          <w:rFonts w:hint="eastAsia" w:ascii="仿宋_GB2312" w:hAnsi="仿宋_GB2312" w:eastAsia="仿宋_GB2312" w:cs="仿宋_GB2312"/>
          <w:szCs w:val="21"/>
        </w:rPr>
        <w:t>日期：</w:t>
      </w:r>
      <w:r>
        <w:rPr>
          <w:rFonts w:hint="eastAsia" w:ascii="仿宋_GB2312" w:hAnsi="仿宋_GB2312" w:eastAsia="仿宋_GB2312" w:cs="仿宋_GB2312"/>
          <w:u w:val="single"/>
        </w:rPr>
        <w:t xml:space="preserve">              </w:t>
      </w:r>
      <w:r>
        <w:rPr>
          <w:rFonts w:hint="eastAsia" w:ascii="仿宋_GB2312" w:hAnsi="仿宋_GB2312" w:eastAsia="仿宋_GB2312" w:cs="仿宋_GB2312"/>
          <w:szCs w:val="21"/>
        </w:rPr>
        <w:t xml:space="preserve"> </w:t>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格式10</w:t>
      </w:r>
    </w:p>
    <w:p>
      <w:pPr>
        <w:spacing w:before="319" w:beforeLines="100" w:after="319" w:afterLines="100" w:line="360" w:lineRule="auto"/>
        <w:ind w:right="-21" w:rightChars="-10"/>
        <w:jc w:val="center"/>
        <w:rPr>
          <w:rFonts w:ascii="仿宋_GB2312" w:hAnsi="仿宋_GB2312" w:eastAsia="仿宋_GB2312" w:cs="仿宋_GB2312"/>
          <w:b/>
          <w:sz w:val="32"/>
          <w:szCs w:val="32"/>
        </w:rPr>
      </w:pPr>
      <w:bookmarkStart w:id="108" w:name="_Toc14782_WPSOffice_Level2"/>
      <w:bookmarkStart w:id="109" w:name="_Toc24841_WPSOffice_Level2"/>
      <w:r>
        <w:rPr>
          <w:rFonts w:hint="eastAsia" w:ascii="仿宋_GB2312" w:hAnsi="仿宋_GB2312" w:eastAsia="仿宋_GB2312" w:cs="仿宋_GB2312"/>
          <w:b/>
          <w:sz w:val="32"/>
          <w:szCs w:val="32"/>
        </w:rPr>
        <w:t>投标函</w:t>
      </w:r>
      <w:bookmarkEnd w:id="108"/>
      <w:bookmarkEnd w:id="109"/>
    </w:p>
    <w:p>
      <w:pPr>
        <w:adjustRightInd w:val="0"/>
        <w:snapToGrid w:val="0"/>
        <w:spacing w:line="360" w:lineRule="auto"/>
        <w:ind w:right="630" w:rightChars="300"/>
        <w:rPr>
          <w:rFonts w:ascii="仿宋_GB2312" w:hAnsi="仿宋_GB2312" w:eastAsia="仿宋_GB2312" w:cs="仿宋_GB2312"/>
          <w:szCs w:val="21"/>
          <w:u w:val="single"/>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u w:val="single"/>
        </w:rPr>
        <w:t>（采购人或采购代理机构）：</w:t>
      </w: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 xml:space="preserve">    根据贵方</w:t>
      </w:r>
      <w:r>
        <w:rPr>
          <w:rFonts w:hint="eastAsia" w:ascii="仿宋_GB2312" w:hAnsi="仿宋_GB2312" w:eastAsia="仿宋_GB2312" w:cs="仿宋_GB2312"/>
          <w:szCs w:val="21"/>
          <w:u w:val="single"/>
        </w:rPr>
        <w:t>(项目名称)</w:t>
      </w:r>
      <w:r>
        <w:rPr>
          <w:rFonts w:hint="eastAsia" w:ascii="仿宋_GB2312" w:hAnsi="仿宋_GB2312" w:eastAsia="仿宋_GB2312" w:cs="仿宋_GB2312"/>
          <w:szCs w:val="21"/>
        </w:rPr>
        <w:t>项目的招标公告</w:t>
      </w:r>
      <w:r>
        <w:rPr>
          <w:rFonts w:hint="eastAsia" w:ascii="仿宋_GB2312" w:hAnsi="仿宋_GB2312" w:eastAsia="仿宋_GB2312" w:cs="仿宋_GB2312"/>
          <w:szCs w:val="21"/>
          <w:u w:val="single"/>
        </w:rPr>
        <w:t>(招标编号)</w:t>
      </w:r>
      <w:r>
        <w:rPr>
          <w:rFonts w:hint="eastAsia" w:ascii="仿宋_GB2312" w:hAnsi="仿宋_GB2312" w:eastAsia="仿宋_GB2312" w:cs="仿宋_GB2312"/>
          <w:szCs w:val="21"/>
        </w:rPr>
        <w:t>,签字代表</w:t>
      </w:r>
      <w:r>
        <w:rPr>
          <w:rFonts w:hint="eastAsia" w:ascii="仿宋_GB2312" w:hAnsi="仿宋_GB2312" w:eastAsia="仿宋_GB2312" w:cs="仿宋_GB2312"/>
          <w:szCs w:val="21"/>
          <w:u w:val="single"/>
        </w:rPr>
        <w:t>(姓名、职务)</w:t>
      </w:r>
      <w:r>
        <w:rPr>
          <w:rFonts w:hint="eastAsia" w:ascii="仿宋_GB2312" w:hAnsi="仿宋_GB2312" w:eastAsia="仿宋_GB2312" w:cs="仿宋_GB2312"/>
          <w:szCs w:val="21"/>
        </w:rPr>
        <w:t>经正式授权并代表投标人</w:t>
      </w:r>
      <w:r>
        <w:rPr>
          <w:rFonts w:hint="eastAsia" w:ascii="仿宋_GB2312" w:hAnsi="仿宋_GB2312" w:eastAsia="仿宋_GB2312" w:cs="仿宋_GB2312"/>
          <w:szCs w:val="21"/>
          <w:u w:val="single"/>
        </w:rPr>
        <w:t>（名称、地址）</w:t>
      </w:r>
      <w:r>
        <w:rPr>
          <w:rFonts w:hint="eastAsia" w:ascii="仿宋_GB2312" w:hAnsi="仿宋_GB2312" w:eastAsia="仿宋_GB2312" w:cs="仿宋_GB2312"/>
          <w:szCs w:val="21"/>
        </w:rPr>
        <w:t>提交下述文件正本</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份、副本</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份，并以</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形式出具的金额为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人民币元的投标保证金。</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据此，签字代表宣布同意如下：</w:t>
      </w:r>
    </w:p>
    <w:p>
      <w:pPr>
        <w:numPr>
          <w:ilvl w:val="0"/>
          <w:numId w:val="4"/>
        </w:num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本项目投标总价详见开标一览表。</w:t>
      </w:r>
    </w:p>
    <w:p>
      <w:pPr>
        <w:numPr>
          <w:ilvl w:val="0"/>
          <w:numId w:val="4"/>
        </w:num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本投标有效期为自递交投标文件截止之日起</w:t>
      </w:r>
      <w:r>
        <w:rPr>
          <w:rFonts w:hint="eastAsia" w:ascii="仿宋_GB2312" w:hAnsi="仿宋_GB2312" w:eastAsia="仿宋_GB2312" w:cs="仿宋_GB2312"/>
          <w:szCs w:val="21"/>
          <w:u w:val="single"/>
        </w:rPr>
        <w:t>90</w:t>
      </w:r>
      <w:r>
        <w:rPr>
          <w:rFonts w:hint="eastAsia" w:ascii="仿宋_GB2312" w:hAnsi="仿宋_GB2312" w:eastAsia="仿宋_GB2312" w:cs="仿宋_GB2312"/>
          <w:szCs w:val="21"/>
        </w:rPr>
        <w:t>日历日。</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（3）已详细审查全部招标文件，包括所有补充通知（如果有的话）。</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（4）在规定的开标时间后，遵守招标文件中有关保证金的规定。</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（5）我方不是为本项目提供整体设计、规范编制或者项目管理、监理、检测等服务的供应商，我方不是采购代理机构的附属机构。</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（6）在领取中标通知书的同时按招标文件规定的形式，向采购代理机构一次性支付采购代理服务费（适用于中标人支付采购代理服务费情形）。</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（7）按照贵方可能要求，提供与其投标有关的一切数据或资料，完全理解贵方不一定接受最低价的投标或收到的任何投标。</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（8）按照招标文件的规定履行合同责任和义务。</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（9）我方承诺投标文件中的证明材料真实、合法、有效。</w:t>
      </w:r>
    </w:p>
    <w:p>
      <w:pPr>
        <w:adjustRightInd w:val="0"/>
        <w:snapToGrid w:val="0"/>
        <w:spacing w:line="360" w:lineRule="auto"/>
        <w:ind w:right="-21" w:rightChars="-10" w:firstLine="420" w:firstLineChars="200"/>
        <w:rPr>
          <w:rFonts w:hint="eastAsia" w:ascii="宋体" w:hAnsi="宋体"/>
          <w:color w:val="000000"/>
          <w:sz w:val="24"/>
          <w:u w:val="single"/>
        </w:rPr>
      </w:pPr>
      <w:r>
        <w:rPr>
          <w:rFonts w:hint="eastAsia" w:ascii="仿宋_GB2312" w:hAnsi="仿宋_GB2312" w:eastAsia="仿宋_GB2312" w:cs="仿宋_GB2312"/>
          <w:szCs w:val="21"/>
        </w:rPr>
        <w:t>其他事项：</w:t>
      </w:r>
    </w:p>
    <w:p>
      <w:pPr>
        <w:adjustRightInd w:val="0"/>
        <w:snapToGrid w:val="0"/>
        <w:spacing w:line="360" w:lineRule="auto"/>
        <w:ind w:right="-21" w:rightChars="-10"/>
        <w:rPr>
          <w:rFonts w:ascii="仿宋_GB2312" w:hAnsi="仿宋_GB2312" w:eastAsia="仿宋_GB2312" w:cs="仿宋_GB2312"/>
          <w:szCs w:val="21"/>
        </w:rPr>
      </w:pPr>
    </w:p>
    <w:p>
      <w:pPr>
        <w:adjustRightInd w:val="0"/>
        <w:snapToGrid w:val="0"/>
        <w:spacing w:line="360" w:lineRule="auto"/>
        <w:ind w:right="-21" w:rightChars="-10"/>
        <w:rPr>
          <w:rFonts w:ascii="仿宋_GB2312" w:hAnsi="仿宋_GB2312" w:eastAsia="仿宋_GB2312" w:cs="仿宋_GB2312"/>
          <w:szCs w:val="21"/>
        </w:rPr>
      </w:pP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与本项目有关的一切往来通讯请寄</w:t>
      </w:r>
    </w:p>
    <w:p>
      <w:pPr>
        <w:adjustRightInd w:val="0"/>
        <w:snapToGrid w:val="0"/>
        <w:spacing w:line="360" w:lineRule="auto"/>
        <w:ind w:right="-21" w:rightChars="-10"/>
        <w:rPr>
          <w:rFonts w:ascii="仿宋_GB2312" w:hAnsi="仿宋_GB2312" w:eastAsia="仿宋_GB2312" w:cs="仿宋_GB2312"/>
          <w:szCs w:val="21"/>
          <w:u w:val="single"/>
        </w:rPr>
      </w:pPr>
      <w:r>
        <w:rPr>
          <w:rFonts w:hint="eastAsia" w:ascii="仿宋_GB2312" w:hAnsi="仿宋_GB2312" w:eastAsia="仿宋_GB2312" w:cs="仿宋_GB2312"/>
          <w:szCs w:val="21"/>
        </w:rPr>
        <w:t>地址：</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传真：</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u w:val="single"/>
        </w:rPr>
      </w:pPr>
      <w:r>
        <w:rPr>
          <w:rFonts w:hint="eastAsia" w:ascii="仿宋_GB2312" w:hAnsi="仿宋_GB2312" w:eastAsia="仿宋_GB2312" w:cs="仿宋_GB2312"/>
          <w:szCs w:val="21"/>
        </w:rPr>
        <w:t>电话：</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电子邮件：</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u w:val="single"/>
        </w:rPr>
      </w:pPr>
      <w:r>
        <w:rPr>
          <w:rFonts w:hint="eastAsia" w:ascii="仿宋_GB2312" w:hAnsi="仿宋_GB2312" w:eastAsia="仿宋_GB2312" w:cs="仿宋_GB2312"/>
          <w:szCs w:val="21"/>
        </w:rPr>
        <w:t>法定代表人（非法人组织负责人）或其授权委托人（签字或盖章）：</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投标人名称（加盖单位公章）：</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投标人开户银行（全称）：</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投标人银行账号：</w:t>
      </w:r>
      <w:r>
        <w:rPr>
          <w:rFonts w:hint="eastAsia" w:ascii="仿宋_GB2312" w:hAnsi="仿宋_GB2312" w:eastAsia="仿宋_GB2312" w:cs="仿宋_GB2312"/>
          <w:szCs w:val="21"/>
          <w:u w:val="single"/>
        </w:rPr>
        <w:t xml:space="preserve">                     </w:t>
      </w:r>
    </w:p>
    <w:p>
      <w:pPr>
        <w:adjustRightInd w:val="0"/>
        <w:snapToGrid w:val="0"/>
        <w:spacing w:line="360" w:lineRule="auto"/>
        <w:ind w:right="1050" w:rightChars="500"/>
        <w:jc w:val="left"/>
        <w:rPr>
          <w:rFonts w:ascii="仿宋_GB2312" w:hAnsi="仿宋_GB2312" w:eastAsia="仿宋_GB2312" w:cs="仿宋_GB2312"/>
          <w:szCs w:val="21"/>
          <w:u w:val="single"/>
        </w:rPr>
      </w:pPr>
      <w:r>
        <w:rPr>
          <w:rFonts w:hint="eastAsia" w:ascii="仿宋_GB2312" w:hAnsi="仿宋_GB2312" w:eastAsia="仿宋_GB2312" w:cs="仿宋_GB2312"/>
          <w:szCs w:val="21"/>
        </w:rPr>
        <w:t>日    期：</w:t>
      </w:r>
      <w:r>
        <w:rPr>
          <w:rFonts w:hint="eastAsia" w:ascii="仿宋_GB2312" w:hAnsi="仿宋_GB2312" w:eastAsia="仿宋_GB2312" w:cs="仿宋_GB2312"/>
          <w:szCs w:val="21"/>
          <w:u w:val="single"/>
        </w:rPr>
        <w:t xml:space="preserve">                           </w:t>
      </w:r>
    </w:p>
    <w:p>
      <w:pPr>
        <w:adjustRightInd w:val="0"/>
        <w:snapToGrid w:val="0"/>
        <w:spacing w:line="360" w:lineRule="auto"/>
        <w:ind w:right="1050" w:rightChars="500"/>
        <w:jc w:val="left"/>
        <w:rPr>
          <w:rFonts w:ascii="仿宋_GB2312" w:hAnsi="仿宋_GB2312" w:eastAsia="仿宋_GB2312" w:cs="仿宋_GB2312"/>
          <w:szCs w:val="21"/>
          <w:u w:val="single"/>
        </w:rPr>
      </w:pP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格式11</w:t>
      </w:r>
    </w:p>
    <w:p>
      <w:pPr>
        <w:adjustRightInd w:val="0"/>
        <w:snapToGrid w:val="0"/>
        <w:spacing w:before="319" w:beforeLines="100" w:after="319" w:afterLines="100" w:line="360" w:lineRule="auto"/>
        <w:ind w:right="105" w:rightChars="50"/>
        <w:jc w:val="center"/>
        <w:rPr>
          <w:rFonts w:ascii="仿宋_GB2312" w:hAnsi="仿宋_GB2312" w:eastAsia="仿宋_GB2312" w:cs="仿宋_GB2312"/>
          <w:b/>
          <w:bCs/>
          <w:sz w:val="32"/>
          <w:szCs w:val="32"/>
        </w:rPr>
      </w:pPr>
      <w:bookmarkStart w:id="110" w:name="_Toc2673_WPSOffice_Level2"/>
      <w:bookmarkStart w:id="111" w:name="_Toc11267_WPSOffice_Level2"/>
      <w:r>
        <w:rPr>
          <w:rFonts w:hint="eastAsia" w:ascii="仿宋_GB2312" w:hAnsi="仿宋_GB2312" w:eastAsia="仿宋_GB2312" w:cs="仿宋_GB2312"/>
          <w:b/>
          <w:bCs/>
          <w:sz w:val="32"/>
          <w:szCs w:val="32"/>
        </w:rPr>
        <w:t>开标一览表</w:t>
      </w:r>
      <w:bookmarkEnd w:id="110"/>
      <w:bookmarkEnd w:id="111"/>
    </w:p>
    <w:p>
      <w:pPr>
        <w:adjustRightInd w:val="0"/>
        <w:snapToGrid w:val="0"/>
        <w:spacing w:line="360" w:lineRule="auto"/>
        <w:ind w:right="105" w:rightChars="50"/>
        <w:jc w:val="left"/>
        <w:rPr>
          <w:rFonts w:ascii="仿宋_GB2312" w:hAnsi="仿宋_GB2312" w:eastAsia="仿宋_GB2312" w:cs="仿宋_GB2312"/>
          <w:b/>
          <w:bCs/>
          <w:szCs w:val="21"/>
        </w:rPr>
      </w:pPr>
      <w:r>
        <w:rPr>
          <w:rFonts w:hint="eastAsia" w:ascii="仿宋_GB2312" w:hAnsi="仿宋_GB2312" w:eastAsia="仿宋_GB2312" w:cs="仿宋_GB2312"/>
          <w:b/>
          <w:bCs/>
          <w:szCs w:val="21"/>
        </w:rPr>
        <w:t>包号：                                                      报价单位：</w:t>
      </w:r>
    </w:p>
    <w:tbl>
      <w:tblPr>
        <w:tblStyle w:val="19"/>
        <w:tblW w:w="9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245"/>
        <w:gridCol w:w="1279"/>
        <w:gridCol w:w="1526"/>
        <w:gridCol w:w="1200"/>
        <w:gridCol w:w="1140"/>
        <w:gridCol w:w="1132"/>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200" w:type="dxa"/>
            <w:noWrap w:val="0"/>
            <w:vAlign w:val="center"/>
          </w:tcPr>
          <w:p>
            <w:pPr>
              <w:adjustRightInd w:val="0"/>
              <w:snapToGrid w:val="0"/>
              <w:ind w:left="-54"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货物名称</w:t>
            </w:r>
          </w:p>
        </w:tc>
        <w:tc>
          <w:tcPr>
            <w:tcW w:w="1245" w:type="dxa"/>
            <w:noWrap w:val="0"/>
            <w:vAlign w:val="center"/>
          </w:tcPr>
          <w:p>
            <w:pPr>
              <w:adjustRightInd w:val="0"/>
              <w:snapToGrid w:val="0"/>
              <w:ind w:left="-54"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lang w:eastAsia="zh-CN"/>
              </w:rPr>
              <w:t>大米单价</w:t>
            </w:r>
          </w:p>
        </w:tc>
        <w:tc>
          <w:tcPr>
            <w:tcW w:w="1279" w:type="dxa"/>
            <w:noWrap w:val="0"/>
            <w:vAlign w:val="center"/>
          </w:tcPr>
          <w:p>
            <w:pPr>
              <w:adjustRightInd w:val="0"/>
              <w:snapToGrid w:val="0"/>
              <w:ind w:left="-54" w:leftChars="-26" w:right="-46" w:rightChars="-22"/>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大豆油单价</w:t>
            </w:r>
          </w:p>
        </w:tc>
        <w:tc>
          <w:tcPr>
            <w:tcW w:w="1526" w:type="dxa"/>
            <w:noWrap w:val="0"/>
            <w:vAlign w:val="center"/>
          </w:tcPr>
          <w:p>
            <w:pPr>
              <w:adjustRightInd w:val="0"/>
              <w:snapToGrid w:val="0"/>
              <w:ind w:left="-54"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lang w:eastAsia="zh-CN"/>
              </w:rPr>
              <w:t>综合</w:t>
            </w:r>
            <w:r>
              <w:rPr>
                <w:rFonts w:hint="eastAsia" w:ascii="仿宋_GB2312" w:hAnsi="仿宋_GB2312" w:eastAsia="仿宋_GB2312" w:cs="仿宋_GB2312"/>
                <w:szCs w:val="21"/>
              </w:rPr>
              <w:t>投标</w:t>
            </w:r>
            <w:r>
              <w:rPr>
                <w:rFonts w:hint="eastAsia" w:ascii="仿宋_GB2312" w:hAnsi="仿宋_GB2312" w:eastAsia="仿宋_GB2312" w:cs="仿宋_GB2312"/>
                <w:szCs w:val="21"/>
                <w:lang w:eastAsia="zh-CN"/>
              </w:rPr>
              <w:t>单</w:t>
            </w:r>
            <w:r>
              <w:rPr>
                <w:rFonts w:hint="eastAsia" w:ascii="仿宋_GB2312" w:hAnsi="仿宋_GB2312" w:eastAsia="仿宋_GB2312" w:cs="仿宋_GB2312"/>
                <w:szCs w:val="21"/>
              </w:rPr>
              <w:t>价</w:t>
            </w:r>
          </w:p>
        </w:tc>
        <w:tc>
          <w:tcPr>
            <w:tcW w:w="1200" w:type="dxa"/>
            <w:noWrap w:val="0"/>
            <w:vAlign w:val="center"/>
          </w:tcPr>
          <w:p>
            <w:pPr>
              <w:adjustRightInd w:val="0"/>
              <w:snapToGrid w:val="0"/>
              <w:ind w:left="-54"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投标保证金</w:t>
            </w:r>
          </w:p>
        </w:tc>
        <w:tc>
          <w:tcPr>
            <w:tcW w:w="1140" w:type="dxa"/>
            <w:noWrap w:val="0"/>
            <w:vAlign w:val="center"/>
          </w:tcPr>
          <w:p>
            <w:pPr>
              <w:adjustRightInd w:val="0"/>
              <w:snapToGrid w:val="0"/>
              <w:ind w:left="-54" w:leftChars="-26" w:right="-46" w:rightChars="-22"/>
              <w:jc w:val="center"/>
              <w:rPr>
                <w:rFonts w:ascii="仿宋_GB2312" w:hAnsi="仿宋_GB2312" w:eastAsia="仿宋_GB2312" w:cs="仿宋_GB2312"/>
                <w:szCs w:val="21"/>
              </w:rPr>
            </w:pPr>
            <w:r>
              <w:rPr>
                <w:rFonts w:hint="eastAsia" w:ascii="仿宋_GB2312" w:hAnsi="仿宋_GB2312" w:eastAsia="仿宋_GB2312" w:cs="仿宋_GB2312"/>
                <w:color w:val="auto"/>
                <w:szCs w:val="21"/>
                <w:lang w:eastAsia="zh-CN"/>
              </w:rPr>
              <w:t>供货期限</w:t>
            </w:r>
          </w:p>
        </w:tc>
        <w:tc>
          <w:tcPr>
            <w:tcW w:w="1132" w:type="dxa"/>
            <w:noWrap w:val="0"/>
            <w:vAlign w:val="center"/>
          </w:tcPr>
          <w:p>
            <w:pPr>
              <w:adjustRightInd w:val="0"/>
              <w:snapToGrid w:val="0"/>
              <w:ind w:left="-54" w:leftChars="-26" w:right="-46" w:rightChars="-22"/>
              <w:jc w:val="center"/>
              <w:rPr>
                <w:rFonts w:hint="eastAsia" w:ascii="仿宋_GB2312" w:hAnsi="仿宋_GB2312" w:eastAsia="仿宋_GB2312" w:cs="仿宋_GB2312"/>
                <w:szCs w:val="21"/>
              </w:rPr>
            </w:pPr>
            <w:r>
              <w:rPr>
                <w:rFonts w:hint="eastAsia" w:ascii="仿宋_GB2312" w:hAnsi="仿宋_GB2312" w:eastAsia="仿宋_GB2312" w:cs="仿宋_GB2312"/>
                <w:szCs w:val="21"/>
              </w:rPr>
              <w:t>交货地点</w:t>
            </w:r>
          </w:p>
        </w:tc>
        <w:tc>
          <w:tcPr>
            <w:tcW w:w="951" w:type="dxa"/>
            <w:noWrap w:val="0"/>
            <w:vAlign w:val="center"/>
          </w:tcPr>
          <w:p>
            <w:pPr>
              <w:adjustRightInd w:val="0"/>
              <w:snapToGrid w:val="0"/>
              <w:ind w:left="-54" w:leftChars="-26" w:right="-46" w:rightChars="-22"/>
              <w:jc w:val="center"/>
              <w:rPr>
                <w:rFonts w:hint="eastAsia"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1200" w:type="dxa"/>
            <w:noWrap w:val="0"/>
            <w:vAlign w:val="center"/>
          </w:tcPr>
          <w:p>
            <w:pPr>
              <w:adjustRightInd w:val="0"/>
              <w:snapToGrid w:val="0"/>
              <w:ind w:left="-54" w:leftChars="-26" w:right="-46" w:rightChars="-22"/>
              <w:jc w:val="center"/>
              <w:rPr>
                <w:rFonts w:ascii="仿宋_GB2312" w:hAnsi="仿宋_GB2312" w:eastAsia="仿宋_GB2312" w:cs="仿宋_GB2312"/>
                <w:szCs w:val="21"/>
              </w:rPr>
            </w:pPr>
          </w:p>
        </w:tc>
        <w:tc>
          <w:tcPr>
            <w:tcW w:w="1245" w:type="dxa"/>
            <w:noWrap w:val="0"/>
            <w:vAlign w:val="center"/>
          </w:tcPr>
          <w:p>
            <w:pPr>
              <w:adjustRightInd w:val="0"/>
              <w:snapToGrid w:val="0"/>
              <w:ind w:left="-54" w:leftChars="-26" w:right="-46" w:rightChars="-22"/>
              <w:jc w:val="left"/>
              <w:rPr>
                <w:rFonts w:ascii="仿宋_GB2312" w:hAnsi="仿宋_GB2312" w:eastAsia="仿宋_GB2312" w:cs="仿宋_GB2312"/>
                <w:szCs w:val="21"/>
              </w:rPr>
            </w:pPr>
            <w:r>
              <w:rPr>
                <w:rFonts w:hint="eastAsia" w:ascii="仿宋_GB2312" w:hAnsi="仿宋_GB2312" w:eastAsia="仿宋_GB2312" w:cs="仿宋_GB2312"/>
                <w:szCs w:val="21"/>
              </w:rPr>
              <w:t>小写：</w:t>
            </w:r>
          </w:p>
          <w:p>
            <w:pPr>
              <w:adjustRightInd w:val="0"/>
              <w:snapToGrid w:val="0"/>
              <w:ind w:left="-54" w:leftChars="-26" w:right="-46" w:rightChars="-22"/>
              <w:jc w:val="left"/>
              <w:rPr>
                <w:rFonts w:ascii="仿宋_GB2312" w:hAnsi="仿宋_GB2312" w:eastAsia="仿宋_GB2312" w:cs="仿宋_GB2312"/>
                <w:szCs w:val="21"/>
              </w:rPr>
            </w:pPr>
            <w:r>
              <w:rPr>
                <w:rFonts w:hint="eastAsia" w:ascii="仿宋_GB2312" w:hAnsi="仿宋_GB2312" w:eastAsia="仿宋_GB2312" w:cs="仿宋_GB2312"/>
                <w:szCs w:val="21"/>
              </w:rPr>
              <w:t>大写：</w:t>
            </w:r>
          </w:p>
        </w:tc>
        <w:tc>
          <w:tcPr>
            <w:tcW w:w="1279" w:type="dxa"/>
            <w:noWrap w:val="0"/>
            <w:vAlign w:val="center"/>
          </w:tcPr>
          <w:p>
            <w:pPr>
              <w:adjustRightInd w:val="0"/>
              <w:snapToGrid w:val="0"/>
              <w:ind w:left="-54" w:leftChars="-26" w:right="-46" w:rightChars="-22"/>
              <w:jc w:val="left"/>
              <w:rPr>
                <w:rFonts w:ascii="仿宋_GB2312" w:hAnsi="仿宋_GB2312" w:eastAsia="仿宋_GB2312" w:cs="仿宋_GB2312"/>
                <w:szCs w:val="21"/>
              </w:rPr>
            </w:pPr>
            <w:r>
              <w:rPr>
                <w:rFonts w:hint="eastAsia" w:ascii="仿宋_GB2312" w:hAnsi="仿宋_GB2312" w:eastAsia="仿宋_GB2312" w:cs="仿宋_GB2312"/>
                <w:szCs w:val="21"/>
              </w:rPr>
              <w:t>小写：</w:t>
            </w:r>
          </w:p>
          <w:p>
            <w:pPr>
              <w:adjustRightInd w:val="0"/>
              <w:snapToGrid w:val="0"/>
              <w:ind w:left="-54" w:leftChars="-26" w:right="-46" w:rightChars="-22"/>
              <w:jc w:val="both"/>
              <w:rPr>
                <w:rFonts w:ascii="仿宋_GB2312" w:hAnsi="仿宋_GB2312" w:eastAsia="仿宋_GB2312" w:cs="仿宋_GB2312"/>
                <w:szCs w:val="21"/>
              </w:rPr>
            </w:pPr>
            <w:r>
              <w:rPr>
                <w:rFonts w:hint="eastAsia" w:ascii="仿宋_GB2312" w:hAnsi="仿宋_GB2312" w:eastAsia="仿宋_GB2312" w:cs="仿宋_GB2312"/>
                <w:szCs w:val="21"/>
              </w:rPr>
              <w:t>大写：</w:t>
            </w:r>
          </w:p>
        </w:tc>
        <w:tc>
          <w:tcPr>
            <w:tcW w:w="1526" w:type="dxa"/>
            <w:noWrap w:val="0"/>
            <w:vAlign w:val="center"/>
          </w:tcPr>
          <w:p>
            <w:pPr>
              <w:adjustRightInd w:val="0"/>
              <w:snapToGrid w:val="0"/>
              <w:ind w:left="-54" w:leftChars="-26" w:right="-46" w:rightChars="-22"/>
              <w:jc w:val="center"/>
              <w:rPr>
                <w:rFonts w:ascii="仿宋_GB2312" w:hAnsi="仿宋_GB2312" w:eastAsia="仿宋_GB2312" w:cs="仿宋_GB2312"/>
                <w:szCs w:val="21"/>
              </w:rPr>
            </w:pPr>
          </w:p>
        </w:tc>
        <w:tc>
          <w:tcPr>
            <w:tcW w:w="1200" w:type="dxa"/>
            <w:noWrap w:val="0"/>
            <w:vAlign w:val="center"/>
          </w:tcPr>
          <w:p>
            <w:pPr>
              <w:adjustRightInd w:val="0"/>
              <w:snapToGrid w:val="0"/>
              <w:ind w:left="-54" w:leftChars="-26" w:right="-46" w:rightChars="-22"/>
              <w:jc w:val="center"/>
              <w:rPr>
                <w:rFonts w:ascii="仿宋_GB2312" w:hAnsi="仿宋_GB2312" w:eastAsia="仿宋_GB2312" w:cs="仿宋_GB2312"/>
                <w:szCs w:val="21"/>
              </w:rPr>
            </w:pPr>
          </w:p>
        </w:tc>
        <w:tc>
          <w:tcPr>
            <w:tcW w:w="1140" w:type="dxa"/>
            <w:noWrap w:val="0"/>
            <w:vAlign w:val="center"/>
          </w:tcPr>
          <w:p>
            <w:pPr>
              <w:adjustRightInd w:val="0"/>
              <w:snapToGrid w:val="0"/>
              <w:ind w:left="-54" w:leftChars="-26" w:right="-46" w:rightChars="-22"/>
              <w:jc w:val="center"/>
              <w:rPr>
                <w:rFonts w:ascii="仿宋_GB2312" w:hAnsi="仿宋_GB2312" w:eastAsia="仿宋_GB2312" w:cs="仿宋_GB2312"/>
                <w:szCs w:val="21"/>
              </w:rPr>
            </w:pPr>
          </w:p>
        </w:tc>
        <w:tc>
          <w:tcPr>
            <w:tcW w:w="1132" w:type="dxa"/>
            <w:noWrap w:val="0"/>
            <w:vAlign w:val="center"/>
          </w:tcPr>
          <w:p>
            <w:pPr>
              <w:adjustRightInd w:val="0"/>
              <w:snapToGrid w:val="0"/>
              <w:ind w:left="-54" w:leftChars="-26" w:right="-46" w:rightChars="-22"/>
              <w:jc w:val="center"/>
              <w:rPr>
                <w:rFonts w:ascii="仿宋_GB2312" w:hAnsi="仿宋_GB2312" w:eastAsia="仿宋_GB2312" w:cs="仿宋_GB2312"/>
                <w:szCs w:val="21"/>
              </w:rPr>
            </w:pPr>
          </w:p>
        </w:tc>
        <w:tc>
          <w:tcPr>
            <w:tcW w:w="951" w:type="dxa"/>
            <w:noWrap w:val="0"/>
            <w:vAlign w:val="center"/>
          </w:tcPr>
          <w:p>
            <w:pPr>
              <w:adjustRightInd w:val="0"/>
              <w:snapToGrid w:val="0"/>
              <w:ind w:left="-54" w:leftChars="-26" w:right="-46" w:rightChars="-22"/>
              <w:jc w:val="center"/>
              <w:rPr>
                <w:rFonts w:ascii="仿宋_GB2312" w:hAnsi="仿宋_GB2312" w:eastAsia="仿宋_GB2312" w:cs="仿宋_GB2312"/>
                <w:szCs w:val="21"/>
              </w:rPr>
            </w:pPr>
          </w:p>
        </w:tc>
      </w:tr>
    </w:tbl>
    <w:p>
      <w:pPr>
        <w:adjustRightInd w:val="0"/>
        <w:snapToGrid w:val="0"/>
        <w:spacing w:line="360" w:lineRule="auto"/>
        <w:ind w:right="105" w:rightChars="50" w:firstLine="420" w:firstLineChars="200"/>
        <w:jc w:val="left"/>
        <w:rPr>
          <w:rFonts w:ascii="仿宋_GB2312" w:hAnsi="仿宋_GB2312" w:eastAsia="仿宋_GB2312" w:cs="仿宋_GB2312"/>
          <w:szCs w:val="21"/>
        </w:rPr>
      </w:pPr>
    </w:p>
    <w:p>
      <w:pPr>
        <w:adjustRightInd w:val="0"/>
        <w:snapToGrid w:val="0"/>
        <w:spacing w:line="360" w:lineRule="auto"/>
        <w:ind w:right="105" w:rightChars="50"/>
        <w:jc w:val="left"/>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eastAsia="zh-CN"/>
        </w:rPr>
        <w:t>注：综合</w:t>
      </w:r>
      <w:r>
        <w:rPr>
          <w:rFonts w:hint="eastAsia" w:ascii="仿宋_GB2312" w:hAnsi="仿宋_GB2312" w:eastAsia="仿宋_GB2312" w:cs="仿宋_GB2312"/>
          <w:b/>
          <w:bCs/>
          <w:szCs w:val="21"/>
        </w:rPr>
        <w:t>投标</w:t>
      </w:r>
      <w:r>
        <w:rPr>
          <w:rFonts w:hint="eastAsia" w:ascii="仿宋_GB2312" w:hAnsi="仿宋_GB2312" w:eastAsia="仿宋_GB2312" w:cs="仿宋_GB2312"/>
          <w:b/>
          <w:bCs/>
          <w:szCs w:val="21"/>
          <w:lang w:eastAsia="zh-CN"/>
        </w:rPr>
        <w:t>单</w:t>
      </w:r>
      <w:r>
        <w:rPr>
          <w:rFonts w:hint="eastAsia" w:ascii="仿宋_GB2312" w:hAnsi="仿宋_GB2312" w:eastAsia="仿宋_GB2312" w:cs="仿宋_GB2312"/>
          <w:b/>
          <w:bCs/>
          <w:szCs w:val="21"/>
        </w:rPr>
        <w:t>价</w:t>
      </w:r>
      <w:r>
        <w:rPr>
          <w:rFonts w:hint="eastAsia" w:ascii="仿宋_GB2312" w:hAnsi="仿宋_GB2312" w:eastAsia="仿宋_GB2312" w:cs="仿宋_GB2312"/>
          <w:b/>
          <w:bCs/>
          <w:szCs w:val="21"/>
          <w:lang w:val="en-US" w:eastAsia="zh-CN"/>
        </w:rPr>
        <w:t>=（</w:t>
      </w:r>
      <w:r>
        <w:rPr>
          <w:rFonts w:hint="eastAsia" w:ascii="仿宋_GB2312" w:hAnsi="仿宋_GB2312" w:eastAsia="仿宋_GB2312" w:cs="仿宋_GB2312"/>
          <w:b/>
          <w:bCs/>
          <w:szCs w:val="21"/>
          <w:lang w:eastAsia="zh-CN"/>
        </w:rPr>
        <w:t>大米单价</w:t>
      </w:r>
      <w:r>
        <w:rPr>
          <w:rFonts w:hint="eastAsia" w:ascii="仿宋_GB2312" w:hAnsi="仿宋_GB2312" w:eastAsia="仿宋_GB2312" w:cs="仿宋_GB2312"/>
          <w:b/>
          <w:bCs/>
          <w:szCs w:val="21"/>
          <w:lang w:val="en-US" w:eastAsia="zh-CN"/>
        </w:rPr>
        <w:t>+</w:t>
      </w:r>
      <w:r>
        <w:rPr>
          <w:rFonts w:hint="eastAsia" w:ascii="仿宋_GB2312" w:hAnsi="仿宋_GB2312" w:eastAsia="仿宋_GB2312" w:cs="仿宋_GB2312"/>
          <w:b/>
          <w:bCs/>
          <w:szCs w:val="21"/>
          <w:lang w:eastAsia="zh-CN"/>
        </w:rPr>
        <w:t>大豆油单价</w:t>
      </w:r>
      <w:r>
        <w:rPr>
          <w:rFonts w:hint="eastAsia" w:ascii="仿宋_GB2312" w:hAnsi="仿宋_GB2312" w:eastAsia="仿宋_GB2312" w:cs="仿宋_GB2312"/>
          <w:b/>
          <w:bCs/>
          <w:szCs w:val="21"/>
          <w:lang w:val="en-US" w:eastAsia="zh-CN"/>
        </w:rPr>
        <w:t>）÷2</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其授权代表人(签字或盖章)：</w:t>
      </w:r>
      <w:r>
        <w:rPr>
          <w:rFonts w:hint="eastAsia" w:ascii="仿宋_GB2312" w:hAnsi="仿宋_GB2312" w:eastAsia="仿宋_GB2312" w:cs="仿宋_GB2312"/>
          <w:u w:val="single"/>
        </w:rPr>
        <w:t xml:space="preserve">           </w:t>
      </w:r>
    </w:p>
    <w:p>
      <w:pPr>
        <w:spacing w:line="480" w:lineRule="auto"/>
        <w:ind w:right="1050" w:rightChars="500"/>
        <w:jc w:val="left"/>
        <w:rPr>
          <w:rFonts w:ascii="仿宋_GB2312" w:hAnsi="仿宋_GB2312" w:eastAsia="仿宋_GB2312" w:cs="仿宋_GB2312"/>
          <w:szCs w:val="21"/>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r>
        <w:rPr>
          <w:rFonts w:hint="eastAsia" w:ascii="仿宋_GB2312" w:hAnsi="仿宋_GB2312" w:eastAsia="仿宋_GB2312" w:cs="仿宋_GB2312"/>
          <w:szCs w:val="21"/>
        </w:rPr>
        <w:t xml:space="preserve">  </w:t>
      </w: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格式12</w:t>
      </w:r>
    </w:p>
    <w:p>
      <w:pPr>
        <w:adjustRightInd w:val="0"/>
        <w:snapToGrid w:val="0"/>
        <w:spacing w:before="319" w:beforeLines="100" w:after="319" w:afterLines="100" w:line="360" w:lineRule="auto"/>
        <w:ind w:right="105" w:rightChars="50"/>
        <w:jc w:val="center"/>
        <w:rPr>
          <w:rFonts w:ascii="仿宋_GB2312" w:hAnsi="仿宋_GB2312" w:eastAsia="仿宋_GB2312" w:cs="仿宋_GB2312"/>
          <w:b/>
          <w:bCs/>
          <w:sz w:val="32"/>
          <w:szCs w:val="32"/>
        </w:rPr>
      </w:pPr>
      <w:bookmarkStart w:id="112" w:name="_Toc28271_WPSOffice_Level2"/>
      <w:bookmarkStart w:id="113" w:name="_Toc16044_WPSOffice_Level2"/>
      <w:r>
        <w:rPr>
          <w:rFonts w:hint="eastAsia" w:ascii="仿宋_GB2312" w:hAnsi="仿宋_GB2312" w:eastAsia="仿宋_GB2312" w:cs="仿宋_GB2312"/>
          <w:b/>
          <w:bCs/>
          <w:sz w:val="32"/>
          <w:szCs w:val="32"/>
        </w:rPr>
        <w:t>分项报价表</w:t>
      </w:r>
      <w:bookmarkEnd w:id="112"/>
      <w:bookmarkEnd w:id="113"/>
    </w:p>
    <w:p>
      <w:pPr>
        <w:adjustRightInd w:val="0"/>
        <w:snapToGrid w:val="0"/>
        <w:spacing w:line="360" w:lineRule="auto"/>
        <w:ind w:right="105" w:rightChars="50"/>
        <w:jc w:val="left"/>
        <w:rPr>
          <w:rFonts w:ascii="仿宋_GB2312" w:hAnsi="仿宋_GB2312" w:eastAsia="仿宋_GB2312" w:cs="仿宋_GB2312"/>
          <w:b/>
          <w:bCs/>
          <w:szCs w:val="21"/>
        </w:rPr>
      </w:pPr>
      <w:r>
        <w:rPr>
          <w:rFonts w:hint="eastAsia" w:ascii="仿宋_GB2312" w:hAnsi="仿宋_GB2312" w:eastAsia="仿宋_GB2312" w:cs="仿宋_GB2312"/>
          <w:b/>
          <w:bCs/>
          <w:szCs w:val="21"/>
        </w:rPr>
        <w:t>包号：                                                      报价单位：</w:t>
      </w:r>
    </w:p>
    <w:tbl>
      <w:tblPr>
        <w:tblStyle w:val="19"/>
        <w:tblW w:w="7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347"/>
        <w:gridCol w:w="1033"/>
        <w:gridCol w:w="1033"/>
        <w:gridCol w:w="721"/>
        <w:gridCol w:w="802"/>
        <w:gridCol w:w="802"/>
        <w:gridCol w:w="675"/>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57" w:type="dxa"/>
            <w:noWrap w:val="0"/>
            <w:vAlign w:val="center"/>
          </w:tcPr>
          <w:p>
            <w:pPr>
              <w:adjustRightInd w:val="0"/>
              <w:snapToGrid w:val="0"/>
              <w:ind w:left="-96"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1347" w:type="dxa"/>
            <w:noWrap w:val="0"/>
            <w:vAlign w:val="center"/>
          </w:tcPr>
          <w:p>
            <w:pPr>
              <w:adjustRightInd w:val="0"/>
              <w:snapToGrid w:val="0"/>
              <w:ind w:left="-96"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名称</w:t>
            </w:r>
          </w:p>
        </w:tc>
        <w:tc>
          <w:tcPr>
            <w:tcW w:w="1033" w:type="dxa"/>
            <w:noWrap w:val="0"/>
            <w:vAlign w:val="center"/>
          </w:tcPr>
          <w:p>
            <w:pPr>
              <w:adjustRightInd w:val="0"/>
              <w:snapToGrid w:val="0"/>
              <w:ind w:left="-96"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品牌</w:t>
            </w:r>
          </w:p>
        </w:tc>
        <w:tc>
          <w:tcPr>
            <w:tcW w:w="1033" w:type="dxa"/>
            <w:noWrap w:val="0"/>
            <w:vAlign w:val="center"/>
          </w:tcPr>
          <w:p>
            <w:pPr>
              <w:adjustRightInd w:val="0"/>
              <w:snapToGrid w:val="0"/>
              <w:ind w:left="-96"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型号</w:t>
            </w:r>
          </w:p>
          <w:p>
            <w:pPr>
              <w:adjustRightInd w:val="0"/>
              <w:snapToGrid w:val="0"/>
              <w:ind w:left="-96"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规格</w:t>
            </w:r>
          </w:p>
        </w:tc>
        <w:tc>
          <w:tcPr>
            <w:tcW w:w="721" w:type="dxa"/>
            <w:noWrap w:val="0"/>
            <w:vAlign w:val="center"/>
          </w:tcPr>
          <w:p>
            <w:pPr>
              <w:adjustRightInd w:val="0"/>
              <w:snapToGrid w:val="0"/>
              <w:ind w:left="-96"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数量</w:t>
            </w:r>
          </w:p>
        </w:tc>
        <w:tc>
          <w:tcPr>
            <w:tcW w:w="802" w:type="dxa"/>
            <w:noWrap w:val="0"/>
            <w:vAlign w:val="center"/>
          </w:tcPr>
          <w:p>
            <w:pPr>
              <w:adjustRightInd w:val="0"/>
              <w:snapToGrid w:val="0"/>
              <w:ind w:left="-96"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原产地</w:t>
            </w:r>
          </w:p>
        </w:tc>
        <w:tc>
          <w:tcPr>
            <w:tcW w:w="802" w:type="dxa"/>
            <w:noWrap w:val="0"/>
            <w:vAlign w:val="center"/>
          </w:tcPr>
          <w:p>
            <w:pPr>
              <w:adjustRightInd w:val="0"/>
              <w:snapToGrid w:val="0"/>
              <w:ind w:left="-96"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制造商名称</w:t>
            </w:r>
          </w:p>
        </w:tc>
        <w:tc>
          <w:tcPr>
            <w:tcW w:w="675" w:type="dxa"/>
            <w:noWrap w:val="0"/>
            <w:vAlign w:val="center"/>
          </w:tcPr>
          <w:p>
            <w:pPr>
              <w:adjustRightInd w:val="0"/>
              <w:snapToGrid w:val="0"/>
              <w:ind w:left="-96"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单价</w:t>
            </w:r>
          </w:p>
        </w:tc>
        <w:tc>
          <w:tcPr>
            <w:tcW w:w="802" w:type="dxa"/>
            <w:noWrap w:val="0"/>
            <w:vAlign w:val="center"/>
          </w:tcPr>
          <w:p>
            <w:pPr>
              <w:adjustRightInd w:val="0"/>
              <w:snapToGrid w:val="0"/>
              <w:ind w:left="-96"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1347"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1033"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1033"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721"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802"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802"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675"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802"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1347"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1033"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1033"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721"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802"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802"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675"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802"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1347"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1033"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1033"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721"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802"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802"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675"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802"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1347"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1033"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1033"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721"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802"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802"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675"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802"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1347"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1033"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1033"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721"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802"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802"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675"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802"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1347"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1033"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1033"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721"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802"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802"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675"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c>
          <w:tcPr>
            <w:tcW w:w="802" w:type="dxa"/>
            <w:noWrap w:val="0"/>
            <w:vAlign w:val="center"/>
          </w:tcPr>
          <w:p>
            <w:pPr>
              <w:adjustRightInd w:val="0"/>
              <w:snapToGrid w:val="0"/>
              <w:ind w:left="-96" w:leftChars="-46" w:right="-63" w:rightChars="-30"/>
              <w:jc w:val="center"/>
              <w:rPr>
                <w:rFonts w:ascii="仿宋_GB2312" w:hAnsi="仿宋_GB2312" w:eastAsia="仿宋_GB2312" w:cs="仿宋_GB2312"/>
                <w:szCs w:val="21"/>
              </w:rPr>
            </w:pPr>
          </w:p>
        </w:tc>
      </w:tr>
    </w:tbl>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hint="eastAsia" w:ascii="仿宋" w:hAnsi="仿宋" w:eastAsia="仿宋" w:cs="仿宋"/>
          <w:sz w:val="21"/>
          <w:szCs w:val="21"/>
        </w:rPr>
      </w:pPr>
      <w:r>
        <w:rPr>
          <w:rFonts w:hint="eastAsia" w:ascii="仿宋" w:hAnsi="仿宋" w:eastAsia="仿宋" w:cs="仿宋"/>
          <w:sz w:val="21"/>
          <w:szCs w:val="21"/>
        </w:rPr>
        <w:t>注：1.如果不提供分项报价将视为没有实质性响应招标文件。</w:t>
      </w:r>
    </w:p>
    <w:p>
      <w:pPr>
        <w:adjustRightInd w:val="0"/>
        <w:snapToGrid w:val="0"/>
        <w:spacing w:line="360" w:lineRule="auto"/>
        <w:ind w:right="105" w:rightChars="50" w:firstLine="420" w:firstLineChars="200"/>
        <w:jc w:val="left"/>
        <w:rPr>
          <w:rFonts w:hint="eastAsia" w:ascii="仿宋" w:hAnsi="仿宋" w:eastAsia="仿宋" w:cs="仿宋"/>
          <w:sz w:val="21"/>
          <w:szCs w:val="21"/>
        </w:rPr>
      </w:pPr>
      <w:r>
        <w:rPr>
          <w:rFonts w:hint="eastAsia" w:ascii="仿宋" w:hAnsi="仿宋" w:eastAsia="仿宋" w:cs="仿宋"/>
          <w:sz w:val="21"/>
          <w:szCs w:val="21"/>
        </w:rPr>
        <w:t>2.如果开标一览表内容与投标文件中分项报价表内容不一致的，以开标一览表内容为准。</w:t>
      </w:r>
    </w:p>
    <w:p>
      <w:pPr>
        <w:adjustRightInd w:val="0"/>
        <w:snapToGrid w:val="0"/>
        <w:spacing w:line="360" w:lineRule="auto"/>
        <w:ind w:right="105" w:rightChars="50" w:firstLine="420" w:firstLineChars="200"/>
        <w:jc w:val="left"/>
        <w:rPr>
          <w:rFonts w:hint="eastAsia" w:ascii="仿宋" w:hAnsi="仿宋" w:eastAsia="仿宋" w:cs="仿宋"/>
          <w:sz w:val="21"/>
          <w:szCs w:val="21"/>
          <w:lang w:val="en-US" w:eastAsia="zh-CN"/>
        </w:rPr>
      </w:pPr>
    </w:p>
    <w:p>
      <w:pPr>
        <w:adjustRightInd w:val="0"/>
        <w:snapToGrid w:val="0"/>
        <w:spacing w:line="360" w:lineRule="auto"/>
        <w:ind w:right="105" w:rightChars="50" w:firstLine="420" w:firstLineChars="200"/>
        <w:jc w:val="left"/>
        <w:rPr>
          <w:rFonts w:hint="eastAsia" w:ascii="仿宋" w:hAnsi="仿宋" w:eastAsia="仿宋" w:cs="仿宋"/>
          <w:sz w:val="21"/>
          <w:szCs w:val="21"/>
          <w:lang w:val="en-US" w:eastAsia="zh-CN"/>
        </w:rPr>
      </w:pPr>
    </w:p>
    <w:p>
      <w:pPr>
        <w:adjustRightInd w:val="0"/>
        <w:snapToGrid w:val="0"/>
        <w:spacing w:line="360" w:lineRule="auto"/>
        <w:ind w:right="105" w:rightChars="50" w:firstLine="420" w:firstLineChars="200"/>
        <w:jc w:val="left"/>
        <w:rPr>
          <w:rFonts w:hint="eastAsia" w:ascii="仿宋" w:hAnsi="仿宋" w:eastAsia="仿宋" w:cs="仿宋"/>
          <w:sz w:val="21"/>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adjustRightInd w:val="0"/>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其授权代表人(签字或盖章)：</w:t>
      </w:r>
      <w:r>
        <w:rPr>
          <w:rFonts w:hint="eastAsia" w:ascii="仿宋_GB2312" w:hAnsi="仿宋_GB2312" w:eastAsia="仿宋_GB2312" w:cs="仿宋_GB2312"/>
          <w:u w:val="single"/>
        </w:rPr>
        <w:t xml:space="preserve">           </w:t>
      </w:r>
    </w:p>
    <w:p>
      <w:pPr>
        <w:adjustRightInd w:val="0"/>
        <w:snapToGrid w:val="0"/>
        <w:spacing w:line="480" w:lineRule="auto"/>
        <w:ind w:right="105" w:rightChars="50"/>
        <w:jc w:val="left"/>
        <w:rPr>
          <w:rFonts w:ascii="仿宋_GB2312" w:hAnsi="仿宋_GB2312" w:eastAsia="仿宋_GB2312" w:cs="仿宋_GB2312"/>
          <w:szCs w:val="21"/>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adjustRightInd w:val="0"/>
        <w:snapToGrid w:val="0"/>
        <w:spacing w:line="360" w:lineRule="auto"/>
        <w:ind w:right="105" w:rightChars="50" w:firstLine="420" w:firstLineChars="20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b/>
          <w:sz w:val="28"/>
          <w:szCs w:val="28"/>
        </w:rPr>
        <w:sectPr>
          <w:pgSz w:w="11906" w:h="16838"/>
          <w:pgMar w:top="1440" w:right="1803" w:bottom="1440" w:left="1803" w:header="851" w:footer="992" w:gutter="0"/>
          <w:cols w:space="720" w:num="1"/>
          <w:docGrid w:type="linesAndChars" w:linePitch="319" w:charSpace="0"/>
        </w:sectPr>
      </w:pP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格式13</w:t>
      </w:r>
    </w:p>
    <w:p>
      <w:pPr>
        <w:adjustRightInd w:val="0"/>
        <w:snapToGrid w:val="0"/>
        <w:spacing w:before="319" w:beforeLines="100" w:line="360" w:lineRule="auto"/>
        <w:ind w:right="105" w:rightChars="50"/>
        <w:jc w:val="center"/>
        <w:rPr>
          <w:rFonts w:ascii="仿宋_GB2312" w:hAnsi="仿宋_GB2312" w:eastAsia="仿宋_GB2312" w:cs="仿宋_GB2312"/>
          <w:b/>
          <w:bCs/>
          <w:sz w:val="32"/>
          <w:szCs w:val="32"/>
        </w:rPr>
      </w:pPr>
      <w:bookmarkStart w:id="114" w:name="_Toc31555_WPSOffice_Level2"/>
      <w:bookmarkStart w:id="115" w:name="_Toc9235_WPSOffice_Level2"/>
      <w:r>
        <w:rPr>
          <w:rFonts w:hint="eastAsia" w:ascii="仿宋_GB2312" w:hAnsi="仿宋_GB2312" w:eastAsia="仿宋_GB2312" w:cs="仿宋_GB2312"/>
          <w:b/>
          <w:bCs/>
          <w:sz w:val="32"/>
          <w:szCs w:val="32"/>
        </w:rPr>
        <w:t>技术规格偏离表</w:t>
      </w:r>
      <w:bookmarkEnd w:id="114"/>
      <w:bookmarkEnd w:id="115"/>
    </w:p>
    <w:tbl>
      <w:tblPr>
        <w:tblStyle w:val="1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3"/>
        <w:gridCol w:w="2310"/>
        <w:gridCol w:w="1186"/>
        <w:gridCol w:w="1125"/>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8755"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left"/>
              <w:rPr>
                <w:rFonts w:ascii="仿宋_GB2312" w:hAnsi="仿宋_GB2312" w:eastAsia="仿宋_GB2312" w:cs="仿宋_GB2312"/>
                <w:szCs w:val="21"/>
              </w:rPr>
            </w:pPr>
            <w:r>
              <w:rPr>
                <w:rFonts w:hint="eastAsia" w:ascii="仿宋_GB2312" w:hAnsi="仿宋_GB2312" w:eastAsia="仿宋_GB2312" w:cs="仿宋_GB2312"/>
                <w:szCs w:val="21"/>
              </w:rPr>
              <w:t>包号/序号：</w:t>
            </w:r>
          </w:p>
          <w:p>
            <w:pPr>
              <w:pStyle w:val="16"/>
              <w:widowControl w:val="0"/>
              <w:adjustRightInd w:val="0"/>
              <w:snapToGrid w:val="0"/>
              <w:spacing w:before="0" w:beforeAutospacing="0" w:after="0" w:afterAutospacing="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产品名称：</w:t>
            </w:r>
          </w:p>
          <w:p>
            <w:pPr>
              <w:pStyle w:val="16"/>
              <w:widowControl w:val="0"/>
              <w:adjustRightInd w:val="0"/>
              <w:snapToGrid w:val="0"/>
              <w:spacing w:before="0" w:beforeAutospacing="0" w:after="0" w:afterAutospacing="0"/>
              <w:jc w:val="both"/>
              <w:rPr>
                <w:rFonts w:ascii="仿宋_GB2312" w:hAnsi="仿宋_GB2312" w:eastAsia="仿宋_GB2312" w:cs="仿宋_GB2312"/>
                <w:szCs w:val="21"/>
              </w:rPr>
            </w:pPr>
            <w:r>
              <w:rPr>
                <w:rFonts w:hint="eastAsia" w:ascii="仿宋_GB2312" w:hAnsi="仿宋_GB2312" w:eastAsia="仿宋_GB2312" w:cs="仿宋_GB2312"/>
                <w:kern w:val="2"/>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7" w:hRule="atLeast"/>
        </w:trPr>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招标文件要求</w:t>
            </w:r>
          </w:p>
          <w:p>
            <w:pPr>
              <w:ind w:hanging="1"/>
              <w:rPr>
                <w:rFonts w:ascii="仿宋_GB2312" w:hAnsi="仿宋_GB2312" w:eastAsia="仿宋_GB2312" w:cs="仿宋_GB2312"/>
                <w:b/>
                <w:szCs w:val="21"/>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投标文件</w:t>
            </w:r>
          </w:p>
          <w:p>
            <w:pPr>
              <w:tabs>
                <w:tab w:val="left" w:pos="0"/>
              </w:tabs>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响应内容</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tabs>
                <w:tab w:val="left" w:pos="0"/>
              </w:tabs>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偏离程度</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tabs>
                <w:tab w:val="left" w:pos="0"/>
              </w:tabs>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偏离说明</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tabs>
                <w:tab w:val="left" w:pos="0"/>
              </w:tabs>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30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hanging="1"/>
              <w:jc w:val="center"/>
              <w:rPr>
                <w:rFonts w:ascii="仿宋_GB2312" w:hAnsi="仿宋_GB2312" w:eastAsia="仿宋_GB2312" w:cs="仿宋_GB2312"/>
                <w:szCs w:val="21"/>
              </w:rPr>
            </w:pPr>
            <w:r>
              <w:rPr>
                <w:rFonts w:hint="eastAsia" w:ascii="仿宋_GB2312" w:hAnsi="仿宋_GB2312" w:eastAsia="仿宋_GB2312" w:cs="仿宋_GB2312"/>
                <w:szCs w:val="21"/>
              </w:rPr>
              <w:t>按采购需求填写</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jc w:val="center"/>
              <w:rPr>
                <w:rFonts w:ascii="仿宋_GB2312" w:hAnsi="仿宋_GB2312" w:eastAsia="仿宋_GB2312" w:cs="仿宋_GB2312"/>
                <w:kern w:val="0"/>
                <w:szCs w:val="21"/>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tabs>
                <w:tab w:val="left" w:pos="0"/>
              </w:tabs>
              <w:spacing w:line="240" w:lineRule="exact"/>
              <w:jc w:val="center"/>
              <w:rPr>
                <w:rFonts w:ascii="仿宋_GB2312" w:hAnsi="仿宋_GB2312" w:eastAsia="仿宋_GB2312" w:cs="仿宋_GB2312"/>
                <w:kern w:val="0"/>
                <w:szCs w:val="21"/>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tabs>
                <w:tab w:val="left" w:pos="0"/>
              </w:tabs>
              <w:spacing w:line="240" w:lineRule="exact"/>
              <w:jc w:val="center"/>
              <w:rPr>
                <w:rFonts w:ascii="仿宋_GB2312" w:hAnsi="仿宋_GB2312" w:eastAsia="仿宋_GB2312" w:cs="仿宋_GB2312"/>
                <w:kern w:val="0"/>
                <w:szCs w:val="21"/>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tabs>
                <w:tab w:val="left" w:pos="0"/>
              </w:tabs>
              <w:spacing w:line="240" w:lineRule="exact"/>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trPr>
        <w:tc>
          <w:tcPr>
            <w:tcW w:w="30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hanging="1"/>
              <w:jc w:val="center"/>
              <w:rPr>
                <w:rFonts w:ascii="仿宋_GB2312" w:hAnsi="仿宋_GB2312" w:eastAsia="仿宋_GB2312" w:cs="仿宋_GB2312"/>
                <w:szCs w:val="21"/>
              </w:rPr>
            </w:pPr>
            <w:r>
              <w:rPr>
                <w:rFonts w:hint="eastAsia" w:ascii="仿宋_GB2312" w:hAnsi="仿宋_GB2312" w:eastAsia="仿宋_GB2312" w:cs="仿宋_GB2312"/>
                <w:szCs w:val="21"/>
              </w:rPr>
              <w:t>其它</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tabs>
                <w:tab w:val="left" w:pos="-61"/>
              </w:tabs>
              <w:adjustRightInd w:val="0"/>
              <w:snapToGrid w:val="0"/>
              <w:ind w:right="-54" w:rightChars="-26"/>
              <w:jc w:val="left"/>
              <w:rPr>
                <w:rFonts w:ascii="仿宋_GB2312" w:hAnsi="仿宋_GB2312" w:eastAsia="仿宋_GB2312" w:cs="仿宋_GB2312"/>
                <w:kern w:val="0"/>
                <w:szCs w:val="21"/>
              </w:rPr>
            </w:pPr>
            <w:r>
              <w:rPr>
                <w:rFonts w:hint="eastAsia" w:ascii="仿宋_GB2312" w:hAnsi="仿宋_GB2312" w:eastAsia="仿宋_GB2312" w:cs="仿宋_GB2312"/>
                <w:szCs w:val="21"/>
              </w:rPr>
              <w:t>采购单位未提供需求而投标人认为需说明及补充的内容在此填列</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tabs>
                <w:tab w:val="left" w:pos="0"/>
              </w:tabs>
              <w:spacing w:line="240" w:lineRule="exact"/>
              <w:jc w:val="center"/>
              <w:rPr>
                <w:rFonts w:ascii="仿宋_GB2312" w:hAnsi="仿宋_GB2312" w:eastAsia="仿宋_GB2312" w:cs="仿宋_GB2312"/>
                <w:kern w:val="0"/>
                <w:szCs w:val="21"/>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tabs>
                <w:tab w:val="left" w:pos="0"/>
              </w:tabs>
              <w:spacing w:line="240" w:lineRule="exact"/>
              <w:jc w:val="center"/>
              <w:rPr>
                <w:rFonts w:ascii="仿宋_GB2312" w:hAnsi="仿宋_GB2312" w:eastAsia="仿宋_GB2312" w:cs="仿宋_GB2312"/>
                <w:kern w:val="0"/>
                <w:szCs w:val="21"/>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tabs>
                <w:tab w:val="left" w:pos="0"/>
              </w:tabs>
              <w:spacing w:line="240" w:lineRule="exact"/>
              <w:jc w:val="center"/>
              <w:rPr>
                <w:rFonts w:ascii="仿宋_GB2312" w:hAnsi="仿宋_GB2312" w:eastAsia="仿宋_GB2312" w:cs="仿宋_GB2312"/>
                <w:kern w:val="0"/>
                <w:szCs w:val="21"/>
              </w:rPr>
            </w:pPr>
          </w:p>
        </w:tc>
      </w:tr>
    </w:tbl>
    <w:p>
      <w:pPr>
        <w:adjustRightInd w:val="0"/>
        <w:snapToGrid w:val="0"/>
        <w:spacing w:line="360" w:lineRule="auto"/>
        <w:ind w:right="105" w:rightChars="50"/>
        <w:jc w:val="left"/>
        <w:rPr>
          <w:rFonts w:ascii="仿宋_GB2312" w:hAnsi="仿宋_GB2312" w:eastAsia="仿宋_GB2312" w:cs="仿宋_GB2312"/>
          <w:b/>
          <w:szCs w:val="21"/>
        </w:rPr>
      </w:pPr>
      <w:r>
        <w:rPr>
          <w:rFonts w:hint="eastAsia" w:ascii="仿宋_GB2312" w:hAnsi="仿宋_GB2312" w:eastAsia="仿宋_GB2312" w:cs="仿宋_GB2312"/>
          <w:b/>
          <w:szCs w:val="21"/>
        </w:rPr>
        <w:t>填表要求：</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1．“投标文件响应内容”一栏由投标人按照招标文件要求填写并进行逐项响应。</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2．“偏离程度”一栏根据“投标文件响应内容”与招标文件逐项对照的结果填写。偏离必须用 “正偏离、负偏离或无偏离”三个名称中的一种进行标注。</w:t>
      </w:r>
    </w:p>
    <w:p>
      <w:pPr>
        <w:adjustRightInd w:val="0"/>
        <w:snapToGrid w:val="0"/>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3．“偏离说明”一栏由投标人对偏离的情况做详细说明。</w:t>
      </w:r>
    </w:p>
    <w:p>
      <w:pPr>
        <w:adjustRightInd w:val="0"/>
        <w:snapToGrid w:val="0"/>
        <w:spacing w:line="360" w:lineRule="auto"/>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4、技术规格偏离表中投标文件响应内容需要投标人详细填写所投产品的技术要求，否则视为无效投标。</w:t>
      </w:r>
    </w:p>
    <w:p>
      <w:pPr>
        <w:adjustRightInd w:val="0"/>
        <w:snapToGrid w:val="0"/>
        <w:spacing w:line="360" w:lineRule="auto"/>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5.技术规格偏离表不允许负偏离，否则视为无效投标。</w:t>
      </w:r>
    </w:p>
    <w:p>
      <w:pPr>
        <w:adjustRightInd w:val="0"/>
        <w:snapToGrid w:val="0"/>
        <w:spacing w:line="360" w:lineRule="auto"/>
        <w:rPr>
          <w:rFonts w:ascii="仿宋_GB2312" w:hAnsi="仿宋_GB2312" w:eastAsia="仿宋_GB2312" w:cs="仿宋_GB2312"/>
          <w:szCs w:val="21"/>
        </w:rPr>
      </w:pPr>
    </w:p>
    <w:p>
      <w:pPr>
        <w:adjustRightInd w:val="0"/>
        <w:snapToGrid w:val="0"/>
        <w:spacing w:line="360" w:lineRule="auto"/>
        <w:rPr>
          <w:rFonts w:ascii="仿宋_GB2312" w:hAnsi="仿宋_GB2312" w:eastAsia="仿宋_GB2312" w:cs="仿宋_GB2312"/>
          <w:szCs w:val="21"/>
        </w:rPr>
      </w:pP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其授权代表人(签字或盖章)：</w:t>
      </w:r>
      <w:r>
        <w:rPr>
          <w:rFonts w:hint="eastAsia" w:ascii="仿宋_GB2312" w:hAnsi="仿宋_GB2312" w:eastAsia="仿宋_GB2312" w:cs="仿宋_GB2312"/>
          <w:u w:val="single"/>
        </w:rPr>
        <w:t xml:space="preserve">           </w:t>
      </w:r>
    </w:p>
    <w:p>
      <w:pPr>
        <w:adjustRightInd w:val="0"/>
        <w:snapToGrid w:val="0"/>
        <w:spacing w:line="480" w:lineRule="auto"/>
        <w:ind w:right="105" w:rightChars="50"/>
        <w:jc w:val="left"/>
        <w:rPr>
          <w:rFonts w:ascii="仿宋_GB2312" w:hAnsi="仿宋_GB2312" w:eastAsia="仿宋_GB2312" w:cs="仿宋_GB2312"/>
          <w:b/>
          <w:sz w:val="28"/>
          <w:szCs w:val="28"/>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格式14</w:t>
      </w:r>
    </w:p>
    <w:p>
      <w:pPr>
        <w:adjustRightInd w:val="0"/>
        <w:snapToGrid w:val="0"/>
        <w:ind w:right="105" w:rightChars="50"/>
        <w:jc w:val="center"/>
        <w:rPr>
          <w:rFonts w:ascii="仿宋_GB2312" w:hAnsi="仿宋_GB2312" w:eastAsia="仿宋_GB2312" w:cs="仿宋_GB2312"/>
          <w:b/>
          <w:bCs/>
          <w:sz w:val="32"/>
          <w:szCs w:val="32"/>
        </w:rPr>
      </w:pPr>
      <w:bookmarkStart w:id="116" w:name="_Toc4431_WPSOffice_Level2"/>
      <w:bookmarkStart w:id="117" w:name="_Toc8488_WPSOffice_Level2"/>
      <w:r>
        <w:rPr>
          <w:rFonts w:hint="eastAsia" w:ascii="仿宋_GB2312" w:hAnsi="仿宋_GB2312" w:eastAsia="仿宋_GB2312" w:cs="仿宋_GB2312"/>
          <w:b/>
          <w:bCs/>
          <w:sz w:val="32"/>
          <w:szCs w:val="32"/>
        </w:rPr>
        <w:t>商务条款偏离表</w:t>
      </w:r>
      <w:bookmarkEnd w:id="116"/>
      <w:bookmarkEnd w:id="117"/>
    </w:p>
    <w:p>
      <w:pPr>
        <w:adjustRightInd w:val="0"/>
        <w:snapToGrid w:val="0"/>
        <w:spacing w:line="360" w:lineRule="auto"/>
        <w:ind w:right="105" w:rightChars="50"/>
        <w:jc w:val="left"/>
        <w:rPr>
          <w:rFonts w:ascii="仿宋_GB2312" w:hAnsi="仿宋_GB2312" w:eastAsia="仿宋_GB2312" w:cs="仿宋_GB2312"/>
          <w:b/>
          <w:bCs/>
          <w:szCs w:val="21"/>
        </w:rPr>
      </w:pPr>
      <w:r>
        <w:rPr>
          <w:rFonts w:hint="eastAsia" w:ascii="仿宋_GB2312" w:hAnsi="仿宋_GB2312" w:eastAsia="仿宋_GB2312" w:cs="仿宋_GB2312"/>
          <w:b/>
          <w:bCs/>
          <w:szCs w:val="21"/>
        </w:rPr>
        <w:t xml:space="preserve">包号： </w:t>
      </w:r>
    </w:p>
    <w:tbl>
      <w:tblPr>
        <w:tblStyle w:val="19"/>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3737"/>
        <w:gridCol w:w="2370"/>
        <w:gridCol w:w="926"/>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544" w:type="dxa"/>
            <w:noWrap w:val="0"/>
            <w:vAlign w:val="center"/>
          </w:tcPr>
          <w:p>
            <w:pPr>
              <w:adjustRightInd w:val="0"/>
              <w:snapToGrid w:val="0"/>
              <w:ind w:right="-48" w:rightChars="-23"/>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序号</w:t>
            </w:r>
          </w:p>
        </w:tc>
        <w:tc>
          <w:tcPr>
            <w:tcW w:w="3737" w:type="dxa"/>
            <w:noWrap w:val="0"/>
            <w:vAlign w:val="center"/>
          </w:tcPr>
          <w:p>
            <w:pPr>
              <w:adjustRightInd w:val="0"/>
              <w:snapToGrid w:val="0"/>
              <w:ind w:right="-73" w:rightChars="-35"/>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招标文件的商务条款</w:t>
            </w:r>
          </w:p>
        </w:tc>
        <w:tc>
          <w:tcPr>
            <w:tcW w:w="2370" w:type="dxa"/>
            <w:noWrap w:val="0"/>
            <w:vAlign w:val="center"/>
          </w:tcPr>
          <w:p>
            <w:pPr>
              <w:adjustRightInd w:val="0"/>
              <w:snapToGrid w:val="0"/>
              <w:ind w:right="-107" w:rightChars="-51"/>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投标文件响应内容</w:t>
            </w:r>
          </w:p>
        </w:tc>
        <w:tc>
          <w:tcPr>
            <w:tcW w:w="926" w:type="dxa"/>
            <w:noWrap w:val="0"/>
            <w:vAlign w:val="center"/>
          </w:tcPr>
          <w:p>
            <w:pPr>
              <w:adjustRightInd w:val="0"/>
              <w:snapToGrid w:val="0"/>
              <w:ind w:left="-58" w:leftChars="-28" w:right="-105" w:rightChars="-5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偏离程度</w:t>
            </w:r>
          </w:p>
        </w:tc>
        <w:tc>
          <w:tcPr>
            <w:tcW w:w="936" w:type="dxa"/>
            <w:noWrap w:val="0"/>
            <w:vAlign w:val="center"/>
          </w:tcPr>
          <w:p>
            <w:pPr>
              <w:adjustRightInd w:val="0"/>
              <w:snapToGrid w:val="0"/>
              <w:ind w:left="-58" w:leftChars="-28" w:right="-105" w:rightChars="-5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44" w:type="dxa"/>
            <w:noWrap w:val="0"/>
            <w:vAlign w:val="center"/>
          </w:tcPr>
          <w:p>
            <w:pPr>
              <w:adjustRightInd w:val="0"/>
              <w:snapToGrid w:val="0"/>
              <w:ind w:right="105" w:rightChars="50"/>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1</w:t>
            </w:r>
          </w:p>
        </w:tc>
        <w:tc>
          <w:tcPr>
            <w:tcW w:w="3737" w:type="dxa"/>
            <w:noWrap w:val="0"/>
            <w:vAlign w:val="center"/>
          </w:tcPr>
          <w:p>
            <w:pPr>
              <w:adjustRightInd w:val="0"/>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lang w:eastAsia="zh-CN"/>
              </w:rPr>
              <w:t>供货期限</w:t>
            </w:r>
            <w:r>
              <w:rPr>
                <w:rFonts w:hint="eastAsia" w:ascii="仿宋_GB2312" w:hAnsi="仿宋_GB2312" w:eastAsia="仿宋_GB2312" w:cs="仿宋_GB2312"/>
                <w:color w:val="auto"/>
                <w:szCs w:val="21"/>
              </w:rPr>
              <w:t>：</w:t>
            </w:r>
          </w:p>
        </w:tc>
        <w:tc>
          <w:tcPr>
            <w:tcW w:w="2370" w:type="dxa"/>
            <w:noWrap w:val="0"/>
            <w:vAlign w:val="center"/>
          </w:tcPr>
          <w:p>
            <w:pPr>
              <w:adjustRightInd w:val="0"/>
              <w:snapToGrid w:val="0"/>
              <w:ind w:right="105" w:rightChars="50"/>
              <w:jc w:val="center"/>
              <w:rPr>
                <w:rFonts w:ascii="仿宋_GB2312" w:hAnsi="仿宋_GB2312" w:eastAsia="仿宋_GB2312" w:cs="仿宋_GB2312"/>
                <w:color w:val="auto"/>
                <w:szCs w:val="21"/>
              </w:rPr>
            </w:pPr>
          </w:p>
        </w:tc>
        <w:tc>
          <w:tcPr>
            <w:tcW w:w="926" w:type="dxa"/>
            <w:noWrap w:val="0"/>
            <w:vAlign w:val="center"/>
          </w:tcPr>
          <w:p>
            <w:pPr>
              <w:adjustRightInd w:val="0"/>
              <w:snapToGrid w:val="0"/>
              <w:ind w:right="105" w:rightChars="50"/>
              <w:jc w:val="center"/>
              <w:rPr>
                <w:rFonts w:ascii="仿宋_GB2312" w:hAnsi="仿宋_GB2312" w:eastAsia="仿宋_GB2312" w:cs="仿宋_GB2312"/>
                <w:color w:val="auto"/>
                <w:szCs w:val="21"/>
              </w:rPr>
            </w:pPr>
          </w:p>
        </w:tc>
        <w:tc>
          <w:tcPr>
            <w:tcW w:w="936" w:type="dxa"/>
            <w:noWrap w:val="0"/>
            <w:vAlign w:val="center"/>
          </w:tcPr>
          <w:p>
            <w:pPr>
              <w:adjustRightInd w:val="0"/>
              <w:snapToGrid w:val="0"/>
              <w:ind w:right="105" w:rightChars="50"/>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44" w:type="dxa"/>
            <w:noWrap w:val="0"/>
            <w:vAlign w:val="center"/>
          </w:tcPr>
          <w:p>
            <w:pPr>
              <w:adjustRightInd w:val="0"/>
              <w:snapToGrid w:val="0"/>
              <w:ind w:right="105" w:rightChars="50"/>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2</w:t>
            </w:r>
          </w:p>
        </w:tc>
        <w:tc>
          <w:tcPr>
            <w:tcW w:w="3737" w:type="dxa"/>
            <w:noWrap w:val="0"/>
            <w:vAlign w:val="center"/>
          </w:tcPr>
          <w:p>
            <w:pPr>
              <w:adjustRightInd w:val="0"/>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交货地点：</w:t>
            </w:r>
          </w:p>
        </w:tc>
        <w:tc>
          <w:tcPr>
            <w:tcW w:w="2370" w:type="dxa"/>
            <w:noWrap w:val="0"/>
            <w:vAlign w:val="center"/>
          </w:tcPr>
          <w:p>
            <w:pPr>
              <w:adjustRightInd w:val="0"/>
              <w:snapToGrid w:val="0"/>
              <w:ind w:right="105" w:rightChars="50"/>
              <w:jc w:val="center"/>
              <w:rPr>
                <w:rFonts w:ascii="仿宋_GB2312" w:hAnsi="仿宋_GB2312" w:eastAsia="仿宋_GB2312" w:cs="仿宋_GB2312"/>
                <w:color w:val="auto"/>
                <w:szCs w:val="21"/>
              </w:rPr>
            </w:pPr>
          </w:p>
        </w:tc>
        <w:tc>
          <w:tcPr>
            <w:tcW w:w="926" w:type="dxa"/>
            <w:noWrap w:val="0"/>
            <w:vAlign w:val="center"/>
          </w:tcPr>
          <w:p>
            <w:pPr>
              <w:adjustRightInd w:val="0"/>
              <w:snapToGrid w:val="0"/>
              <w:ind w:right="105" w:rightChars="50"/>
              <w:jc w:val="center"/>
              <w:rPr>
                <w:rFonts w:ascii="仿宋_GB2312" w:hAnsi="仿宋_GB2312" w:eastAsia="仿宋_GB2312" w:cs="仿宋_GB2312"/>
                <w:color w:val="auto"/>
                <w:szCs w:val="21"/>
              </w:rPr>
            </w:pPr>
          </w:p>
        </w:tc>
        <w:tc>
          <w:tcPr>
            <w:tcW w:w="936" w:type="dxa"/>
            <w:noWrap w:val="0"/>
            <w:vAlign w:val="center"/>
          </w:tcPr>
          <w:p>
            <w:pPr>
              <w:adjustRightInd w:val="0"/>
              <w:snapToGrid w:val="0"/>
              <w:ind w:right="105" w:rightChars="50"/>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44" w:type="dxa"/>
            <w:noWrap w:val="0"/>
            <w:vAlign w:val="center"/>
          </w:tcPr>
          <w:p>
            <w:pPr>
              <w:adjustRightInd w:val="0"/>
              <w:snapToGrid w:val="0"/>
              <w:ind w:right="105" w:rightChars="50"/>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3</w:t>
            </w:r>
          </w:p>
        </w:tc>
        <w:tc>
          <w:tcPr>
            <w:tcW w:w="3737" w:type="dxa"/>
            <w:noWrap w:val="0"/>
            <w:vAlign w:val="center"/>
          </w:tcPr>
          <w:p>
            <w:pPr>
              <w:adjustRightInd w:val="0"/>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付款方式：</w:t>
            </w:r>
          </w:p>
        </w:tc>
        <w:tc>
          <w:tcPr>
            <w:tcW w:w="2370" w:type="dxa"/>
            <w:noWrap w:val="0"/>
            <w:vAlign w:val="center"/>
          </w:tcPr>
          <w:p>
            <w:pPr>
              <w:adjustRightInd w:val="0"/>
              <w:snapToGrid w:val="0"/>
              <w:ind w:right="105" w:rightChars="50"/>
              <w:jc w:val="center"/>
              <w:rPr>
                <w:rFonts w:ascii="仿宋_GB2312" w:hAnsi="仿宋_GB2312" w:eastAsia="仿宋_GB2312" w:cs="仿宋_GB2312"/>
                <w:color w:val="auto"/>
                <w:szCs w:val="21"/>
              </w:rPr>
            </w:pPr>
          </w:p>
        </w:tc>
        <w:tc>
          <w:tcPr>
            <w:tcW w:w="926" w:type="dxa"/>
            <w:noWrap w:val="0"/>
            <w:vAlign w:val="center"/>
          </w:tcPr>
          <w:p>
            <w:pPr>
              <w:adjustRightInd w:val="0"/>
              <w:snapToGrid w:val="0"/>
              <w:ind w:right="105" w:rightChars="50"/>
              <w:jc w:val="center"/>
              <w:rPr>
                <w:rFonts w:ascii="仿宋_GB2312" w:hAnsi="仿宋_GB2312" w:eastAsia="仿宋_GB2312" w:cs="仿宋_GB2312"/>
                <w:color w:val="auto"/>
                <w:szCs w:val="21"/>
              </w:rPr>
            </w:pPr>
          </w:p>
        </w:tc>
        <w:tc>
          <w:tcPr>
            <w:tcW w:w="936" w:type="dxa"/>
            <w:noWrap w:val="0"/>
            <w:vAlign w:val="center"/>
          </w:tcPr>
          <w:p>
            <w:pPr>
              <w:adjustRightInd w:val="0"/>
              <w:snapToGrid w:val="0"/>
              <w:ind w:right="105" w:rightChars="50"/>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44" w:type="dxa"/>
            <w:noWrap w:val="0"/>
            <w:vAlign w:val="center"/>
          </w:tcPr>
          <w:p>
            <w:pPr>
              <w:adjustRightInd w:val="0"/>
              <w:snapToGrid w:val="0"/>
              <w:ind w:right="105" w:rightChars="50"/>
              <w:jc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4</w:t>
            </w:r>
          </w:p>
        </w:tc>
        <w:tc>
          <w:tcPr>
            <w:tcW w:w="3737" w:type="dxa"/>
            <w:noWrap w:val="0"/>
            <w:vAlign w:val="center"/>
          </w:tcPr>
          <w:p>
            <w:pPr>
              <w:adjustRightInd w:val="0"/>
              <w:snapToGrid w:val="0"/>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货物验收：</w:t>
            </w:r>
          </w:p>
        </w:tc>
        <w:tc>
          <w:tcPr>
            <w:tcW w:w="2370" w:type="dxa"/>
            <w:noWrap w:val="0"/>
            <w:vAlign w:val="center"/>
          </w:tcPr>
          <w:p>
            <w:pPr>
              <w:adjustRightInd w:val="0"/>
              <w:snapToGrid w:val="0"/>
              <w:ind w:right="105" w:rightChars="50"/>
              <w:jc w:val="center"/>
              <w:rPr>
                <w:rFonts w:ascii="仿宋_GB2312" w:hAnsi="仿宋_GB2312" w:eastAsia="仿宋_GB2312" w:cs="仿宋_GB2312"/>
                <w:color w:val="auto"/>
                <w:szCs w:val="21"/>
              </w:rPr>
            </w:pPr>
          </w:p>
        </w:tc>
        <w:tc>
          <w:tcPr>
            <w:tcW w:w="926" w:type="dxa"/>
            <w:noWrap w:val="0"/>
            <w:vAlign w:val="center"/>
          </w:tcPr>
          <w:p>
            <w:pPr>
              <w:adjustRightInd w:val="0"/>
              <w:snapToGrid w:val="0"/>
              <w:ind w:right="105" w:rightChars="50"/>
              <w:jc w:val="center"/>
              <w:rPr>
                <w:rFonts w:ascii="仿宋_GB2312" w:hAnsi="仿宋_GB2312" w:eastAsia="仿宋_GB2312" w:cs="仿宋_GB2312"/>
                <w:color w:val="auto"/>
                <w:szCs w:val="21"/>
              </w:rPr>
            </w:pPr>
          </w:p>
        </w:tc>
        <w:tc>
          <w:tcPr>
            <w:tcW w:w="936" w:type="dxa"/>
            <w:noWrap w:val="0"/>
            <w:vAlign w:val="center"/>
          </w:tcPr>
          <w:p>
            <w:pPr>
              <w:adjustRightInd w:val="0"/>
              <w:snapToGrid w:val="0"/>
              <w:ind w:right="105" w:rightChars="50"/>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544" w:type="dxa"/>
            <w:noWrap w:val="0"/>
            <w:vAlign w:val="center"/>
          </w:tcPr>
          <w:p>
            <w:pPr>
              <w:adjustRightInd w:val="0"/>
              <w:snapToGrid w:val="0"/>
              <w:ind w:right="105" w:rightChars="50"/>
              <w:jc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5</w:t>
            </w:r>
          </w:p>
        </w:tc>
        <w:tc>
          <w:tcPr>
            <w:tcW w:w="3737" w:type="dxa"/>
            <w:noWrap w:val="0"/>
            <w:vAlign w:val="center"/>
          </w:tcPr>
          <w:p>
            <w:pPr>
              <w:adjustRightInd w:val="0"/>
              <w:snapToGrid w:val="0"/>
              <w:rPr>
                <w:rFonts w:hint="eastAsia" w:ascii="仿宋_GB2312" w:hAnsi="仿宋_GB2312" w:eastAsia="仿宋_GB2312" w:cs="仿宋_GB2312"/>
                <w:color w:val="auto"/>
                <w:szCs w:val="21"/>
                <w:lang w:val="en-US" w:eastAsia="zh-CN"/>
              </w:rPr>
            </w:pPr>
            <w:r>
              <w:rPr>
                <w:rFonts w:hint="eastAsia" w:ascii="仿宋" w:hAnsi="仿宋" w:eastAsia="仿宋" w:cs="仿宋"/>
                <w:b w:val="0"/>
                <w:bCs w:val="0"/>
                <w:color w:val="auto"/>
                <w:sz w:val="21"/>
                <w:szCs w:val="21"/>
                <w:lang w:eastAsia="zh-CN"/>
              </w:rPr>
              <w:t>投标人中标后的相关要求</w:t>
            </w:r>
            <w:r>
              <w:rPr>
                <w:rFonts w:hint="eastAsia" w:ascii="仿宋" w:hAnsi="仿宋" w:cs="仿宋"/>
                <w:b w:val="0"/>
                <w:bCs w:val="0"/>
                <w:color w:val="auto"/>
                <w:sz w:val="21"/>
                <w:szCs w:val="21"/>
                <w:lang w:eastAsia="zh-CN"/>
              </w:rPr>
              <w:t>：</w:t>
            </w:r>
          </w:p>
        </w:tc>
        <w:tc>
          <w:tcPr>
            <w:tcW w:w="2370" w:type="dxa"/>
            <w:noWrap w:val="0"/>
            <w:vAlign w:val="center"/>
          </w:tcPr>
          <w:p>
            <w:pPr>
              <w:adjustRightInd w:val="0"/>
              <w:snapToGrid w:val="0"/>
              <w:ind w:right="105" w:rightChars="50"/>
              <w:jc w:val="center"/>
              <w:rPr>
                <w:rFonts w:ascii="仿宋_GB2312" w:hAnsi="仿宋_GB2312" w:eastAsia="仿宋_GB2312" w:cs="仿宋_GB2312"/>
                <w:color w:val="auto"/>
                <w:szCs w:val="21"/>
              </w:rPr>
            </w:pPr>
          </w:p>
        </w:tc>
        <w:tc>
          <w:tcPr>
            <w:tcW w:w="926" w:type="dxa"/>
            <w:noWrap w:val="0"/>
            <w:vAlign w:val="center"/>
          </w:tcPr>
          <w:p>
            <w:pPr>
              <w:adjustRightInd w:val="0"/>
              <w:snapToGrid w:val="0"/>
              <w:ind w:right="105" w:rightChars="50"/>
              <w:jc w:val="center"/>
              <w:rPr>
                <w:rFonts w:ascii="仿宋_GB2312" w:hAnsi="仿宋_GB2312" w:eastAsia="仿宋_GB2312" w:cs="仿宋_GB2312"/>
                <w:color w:val="auto"/>
                <w:szCs w:val="21"/>
              </w:rPr>
            </w:pPr>
          </w:p>
        </w:tc>
        <w:tc>
          <w:tcPr>
            <w:tcW w:w="936" w:type="dxa"/>
            <w:noWrap w:val="0"/>
            <w:vAlign w:val="center"/>
          </w:tcPr>
          <w:p>
            <w:pPr>
              <w:adjustRightInd w:val="0"/>
              <w:snapToGrid w:val="0"/>
              <w:ind w:right="105" w:rightChars="50"/>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44" w:type="dxa"/>
            <w:noWrap w:val="0"/>
            <w:vAlign w:val="center"/>
          </w:tcPr>
          <w:p>
            <w:pPr>
              <w:adjustRightInd w:val="0"/>
              <w:snapToGrid w:val="0"/>
              <w:ind w:right="105" w:rightChars="50"/>
              <w:jc w:val="center"/>
              <w:rPr>
                <w:rFonts w:ascii="仿宋_GB2312" w:hAnsi="仿宋_GB2312" w:eastAsia="仿宋_GB2312" w:cs="仿宋_GB2312"/>
                <w:color w:val="auto"/>
                <w:szCs w:val="21"/>
              </w:rPr>
            </w:pPr>
          </w:p>
        </w:tc>
        <w:tc>
          <w:tcPr>
            <w:tcW w:w="3737" w:type="dxa"/>
            <w:noWrap w:val="0"/>
            <w:vAlign w:val="center"/>
          </w:tcPr>
          <w:p>
            <w:pPr>
              <w:adjustRightInd w:val="0"/>
              <w:snapToGrid w:val="0"/>
              <w:ind w:hanging="1"/>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其它</w:t>
            </w:r>
          </w:p>
        </w:tc>
        <w:tc>
          <w:tcPr>
            <w:tcW w:w="2370" w:type="dxa"/>
            <w:noWrap w:val="0"/>
            <w:vAlign w:val="center"/>
          </w:tcPr>
          <w:p>
            <w:pPr>
              <w:adjustRightInd w:val="0"/>
              <w:snapToGrid w:val="0"/>
              <w:ind w:left="-52" w:leftChars="-25" w:right="-16" w:rightChars="-8"/>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采购单位未提供需求而投标人认为需说明及补充的内容在此填列</w:t>
            </w:r>
          </w:p>
        </w:tc>
        <w:tc>
          <w:tcPr>
            <w:tcW w:w="926" w:type="dxa"/>
            <w:noWrap w:val="0"/>
            <w:vAlign w:val="center"/>
          </w:tcPr>
          <w:p>
            <w:pPr>
              <w:adjustRightInd w:val="0"/>
              <w:snapToGrid w:val="0"/>
              <w:ind w:right="105" w:rightChars="50"/>
              <w:jc w:val="center"/>
              <w:rPr>
                <w:rFonts w:ascii="仿宋_GB2312" w:hAnsi="仿宋_GB2312" w:eastAsia="仿宋_GB2312" w:cs="仿宋_GB2312"/>
                <w:color w:val="auto"/>
                <w:szCs w:val="21"/>
              </w:rPr>
            </w:pPr>
          </w:p>
        </w:tc>
        <w:tc>
          <w:tcPr>
            <w:tcW w:w="936" w:type="dxa"/>
            <w:noWrap w:val="0"/>
            <w:vAlign w:val="center"/>
          </w:tcPr>
          <w:p>
            <w:pPr>
              <w:adjustRightInd w:val="0"/>
              <w:snapToGrid w:val="0"/>
              <w:ind w:right="105" w:rightChars="50"/>
              <w:jc w:val="center"/>
              <w:rPr>
                <w:rFonts w:ascii="仿宋_GB2312" w:hAnsi="仿宋_GB2312" w:eastAsia="仿宋_GB2312" w:cs="仿宋_GB2312"/>
                <w:color w:val="auto"/>
                <w:szCs w:val="21"/>
              </w:rPr>
            </w:pPr>
          </w:p>
        </w:tc>
      </w:tr>
    </w:tbl>
    <w:p>
      <w:pPr>
        <w:adjustRightInd w:val="0"/>
        <w:snapToGrid w:val="0"/>
        <w:spacing w:line="360" w:lineRule="auto"/>
        <w:ind w:right="105" w:rightChars="50"/>
        <w:jc w:val="left"/>
        <w:rPr>
          <w:rFonts w:ascii="仿宋_GB2312" w:hAnsi="仿宋_GB2312" w:eastAsia="仿宋_GB2312" w:cs="仿宋_GB2312"/>
          <w:szCs w:val="21"/>
        </w:rPr>
      </w:pPr>
      <w:r>
        <w:rPr>
          <w:rFonts w:hint="eastAsia" w:ascii="仿宋_GB2312" w:hAnsi="仿宋_GB2312" w:eastAsia="仿宋_GB2312" w:cs="仿宋_GB2312"/>
          <w:b/>
          <w:szCs w:val="21"/>
        </w:rPr>
        <w:t>填表要求：</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1．“投标文件响应内容”一栏由投标人按照招标文件要求填写，进行响应。</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2．“偏离程度”一栏根据“投标文件响应内容”与招标文件逐项对照的结果填写。偏离必须用 “正偏离、负偏离或无偏离”三个名称中的一种进行标注。</w:t>
      </w:r>
    </w:p>
    <w:p>
      <w:pPr>
        <w:adjustRightInd w:val="0"/>
        <w:snapToGrid w:val="0"/>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3．“偏离说明”一栏由投标人对偏离的情况做详细说明。</w:t>
      </w:r>
    </w:p>
    <w:p>
      <w:pPr>
        <w:adjustRightInd w:val="0"/>
        <w:snapToGrid w:val="0"/>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4、商务条款偏离表中投标文件响应内容需要投标人详细填写响应内容，不得填写“响应”，否则视为无效投标。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lang w:val="en-US" w:eastAsia="zh-CN"/>
        </w:rPr>
        <w:t>5.商务条款偏离表不允许负偏离，否则视为无效投标。</w:t>
      </w:r>
    </w:p>
    <w:p>
      <w:pPr>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其授权代表人(签字或盖章)：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pStyle w:val="4"/>
        <w:adjustRightInd w:val="0"/>
        <w:snapToGrid w:val="0"/>
        <w:spacing w:before="0" w:after="0" w:line="240" w:lineRule="auto"/>
        <w:jc w:val="left"/>
        <w:rPr>
          <w:rFonts w:hint="eastAsia" w:ascii="仿宋_GB2312" w:hAnsi="仿宋_GB2312" w:eastAsia="仿宋_GB2312" w:cs="仿宋_GB2312"/>
          <w:szCs w:val="28"/>
        </w:rPr>
      </w:pPr>
    </w:p>
    <w:p>
      <w:pPr>
        <w:pStyle w:val="4"/>
        <w:adjustRightInd w:val="0"/>
        <w:snapToGrid w:val="0"/>
        <w:spacing w:before="0" w:after="0" w:line="240" w:lineRule="auto"/>
        <w:jc w:val="left"/>
        <w:rPr>
          <w:rFonts w:hint="eastAsia" w:ascii="仿宋_GB2312" w:hAnsi="仿宋_GB2312" w:eastAsia="仿宋_GB2312" w:cs="仿宋_GB2312"/>
          <w:szCs w:val="28"/>
        </w:rPr>
      </w:pPr>
    </w:p>
    <w:p>
      <w:pPr>
        <w:pStyle w:val="4"/>
        <w:adjustRightInd w:val="0"/>
        <w:snapToGrid w:val="0"/>
        <w:spacing w:before="0" w:after="0" w:line="240" w:lineRule="auto"/>
        <w:jc w:val="left"/>
        <w:rPr>
          <w:rFonts w:hint="eastAsia" w:ascii="仿宋_GB2312" w:hAnsi="仿宋_GB2312" w:eastAsia="仿宋_GB2312" w:cs="仿宋_GB2312"/>
          <w:szCs w:val="28"/>
        </w:rPr>
      </w:pPr>
    </w:p>
    <w:p>
      <w:pPr>
        <w:pStyle w:val="4"/>
        <w:adjustRightInd w:val="0"/>
        <w:snapToGrid w:val="0"/>
        <w:spacing w:before="0" w:after="0" w:line="240" w:lineRule="auto"/>
        <w:jc w:val="left"/>
        <w:rPr>
          <w:rFonts w:hint="eastAsia" w:ascii="仿宋_GB2312" w:hAnsi="仿宋_GB2312" w:eastAsia="仿宋_GB2312" w:cs="仿宋_GB2312"/>
          <w:szCs w:val="28"/>
        </w:rPr>
      </w:pPr>
    </w:p>
    <w:p>
      <w:pPr>
        <w:pStyle w:val="4"/>
        <w:adjustRightInd w:val="0"/>
        <w:snapToGrid w:val="0"/>
        <w:spacing w:before="0" w:after="0" w:line="240" w:lineRule="auto"/>
        <w:jc w:val="left"/>
        <w:rPr>
          <w:rFonts w:hint="eastAsia" w:ascii="仿宋_GB2312" w:hAnsi="仿宋_GB2312" w:eastAsia="仿宋_GB2312" w:cs="仿宋_GB2312"/>
          <w:szCs w:val="28"/>
        </w:rPr>
      </w:pPr>
    </w:p>
    <w:p>
      <w:pPr>
        <w:pStyle w:val="4"/>
        <w:adjustRightInd w:val="0"/>
        <w:snapToGrid w:val="0"/>
        <w:spacing w:before="0" w:after="0" w:line="240" w:lineRule="auto"/>
        <w:jc w:val="left"/>
        <w:rPr>
          <w:rFonts w:hint="eastAsia" w:ascii="仿宋_GB2312" w:hAnsi="仿宋_GB2312" w:eastAsia="仿宋_GB2312" w:cs="仿宋_GB2312"/>
          <w:szCs w:val="28"/>
        </w:rPr>
      </w:pPr>
    </w:p>
    <w:p>
      <w:pPr>
        <w:pStyle w:val="4"/>
        <w:adjustRightInd w:val="0"/>
        <w:snapToGrid w:val="0"/>
        <w:spacing w:before="0" w:after="0" w:line="240" w:lineRule="auto"/>
        <w:jc w:val="left"/>
        <w:rPr>
          <w:rFonts w:hint="eastAsia" w:ascii="仿宋_GB2312" w:hAnsi="仿宋_GB2312" w:eastAsia="仿宋_GB2312" w:cs="仿宋_GB2312"/>
          <w:szCs w:val="28"/>
        </w:rPr>
      </w:pPr>
    </w:p>
    <w:p>
      <w:pPr>
        <w:rPr>
          <w:rFonts w:hint="eastAsia"/>
        </w:rPr>
      </w:pPr>
    </w:p>
    <w:p>
      <w:pPr>
        <w:pStyle w:val="4"/>
        <w:adjustRightInd w:val="0"/>
        <w:snapToGrid w:val="0"/>
        <w:spacing w:before="0" w:after="0" w:line="240" w:lineRule="auto"/>
        <w:jc w:val="left"/>
        <w:rPr>
          <w:rFonts w:hint="eastAsia" w:ascii="仿宋_GB2312" w:hAnsi="仿宋_GB2312" w:eastAsia="仿宋_GB2312" w:cs="仿宋_GB2312"/>
          <w:szCs w:val="28"/>
        </w:rPr>
      </w:pP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格式15</w:t>
      </w:r>
    </w:p>
    <w:p>
      <w:pPr>
        <w:adjustRightInd w:val="0"/>
        <w:snapToGrid w:val="0"/>
        <w:spacing w:before="319" w:beforeLines="100" w:after="319" w:afterLines="100" w:line="360" w:lineRule="auto"/>
        <w:ind w:right="105" w:rightChars="50"/>
        <w:jc w:val="center"/>
        <w:rPr>
          <w:rFonts w:ascii="仿宋_GB2312" w:hAnsi="仿宋_GB2312" w:eastAsia="仿宋_GB2312" w:cs="仿宋_GB2312"/>
          <w:b/>
          <w:bCs/>
          <w:sz w:val="32"/>
          <w:szCs w:val="32"/>
        </w:rPr>
      </w:pPr>
      <w:bookmarkStart w:id="118" w:name="_Toc9410_WPSOffice_Level2"/>
      <w:bookmarkStart w:id="119" w:name="_Toc20929_WPSOffice_Level2"/>
      <w:r>
        <w:rPr>
          <w:rFonts w:hint="eastAsia" w:ascii="仿宋_GB2312" w:hAnsi="仿宋_GB2312" w:eastAsia="仿宋_GB2312" w:cs="仿宋_GB2312"/>
          <w:b/>
          <w:bCs/>
          <w:sz w:val="32"/>
          <w:szCs w:val="32"/>
        </w:rPr>
        <w:t>投标人关联单位的说明</w:t>
      </w:r>
      <w:bookmarkEnd w:id="118"/>
      <w:bookmarkEnd w:id="119"/>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说明：投标人应当如实披露与本单位存在下列关联关系的单位名称：</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bookmarkStart w:id="120" w:name="_Toc31070_WPSOffice_Level2"/>
      <w:bookmarkStart w:id="121" w:name="_Toc2074_WPSOffice_Level2"/>
      <w:r>
        <w:rPr>
          <w:rFonts w:hint="eastAsia" w:ascii="仿宋_GB2312" w:hAnsi="仿宋_GB2312" w:eastAsia="仿宋_GB2312" w:cs="仿宋_GB2312"/>
          <w:szCs w:val="21"/>
        </w:rPr>
        <w:t>（1）与投标人单位法定代表人（或非法人组织负责人）为同一人的其他单位；</w:t>
      </w:r>
      <w:bookmarkEnd w:id="120"/>
      <w:bookmarkEnd w:id="121"/>
    </w:p>
    <w:p>
      <w:pPr>
        <w:adjustRightInd w:val="0"/>
        <w:snapToGrid w:val="0"/>
        <w:spacing w:line="360" w:lineRule="auto"/>
        <w:ind w:right="105" w:rightChars="50" w:firstLine="476" w:firstLineChars="227"/>
        <w:jc w:val="left"/>
        <w:rPr>
          <w:rFonts w:ascii="仿宋_GB2312" w:hAnsi="仿宋_GB2312" w:eastAsia="仿宋_GB2312" w:cs="仿宋_GB2312"/>
          <w:szCs w:val="21"/>
        </w:rPr>
      </w:pPr>
      <w:bookmarkStart w:id="122" w:name="_Toc889_WPSOffice_Level2"/>
      <w:bookmarkStart w:id="123" w:name="_Toc27053_WPSOffice_Level2"/>
      <w:r>
        <w:rPr>
          <w:rFonts w:hint="eastAsia" w:ascii="仿宋_GB2312" w:hAnsi="仿宋_GB2312" w:eastAsia="仿宋_GB2312" w:cs="仿宋_GB2312"/>
          <w:szCs w:val="21"/>
        </w:rPr>
        <w:t>（2）与投标人存在直接控股、管理关系的其他单位。</w:t>
      </w:r>
      <w:bookmarkEnd w:id="122"/>
      <w:bookmarkEnd w:id="123"/>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注：若无此情形，写“无”即可</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其授权代表人(签字或盖章)：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pStyle w:val="4"/>
        <w:adjustRightInd w:val="0"/>
        <w:snapToGrid w:val="0"/>
        <w:spacing w:before="0" w:after="0" w:line="240" w:lineRule="auto"/>
        <w:jc w:val="left"/>
        <w:rPr>
          <w:rFonts w:hint="eastAsia" w:ascii="仿宋_GB2312" w:hAnsi="仿宋_GB2312" w:eastAsia="仿宋_GB2312" w:cs="仿宋_GB2312"/>
          <w:szCs w:val="28"/>
        </w:rPr>
      </w:pPr>
    </w:p>
    <w:p>
      <w:pPr>
        <w:pStyle w:val="4"/>
        <w:adjustRightInd w:val="0"/>
        <w:snapToGrid w:val="0"/>
        <w:spacing w:before="0" w:after="0" w:line="240" w:lineRule="auto"/>
        <w:jc w:val="left"/>
        <w:rPr>
          <w:rFonts w:hint="eastAsia" w:ascii="仿宋_GB2312" w:hAnsi="仿宋_GB2312" w:eastAsia="仿宋_GB2312" w:cs="仿宋_GB2312"/>
          <w:szCs w:val="28"/>
        </w:rPr>
      </w:pPr>
    </w:p>
    <w:p>
      <w:pPr>
        <w:pStyle w:val="4"/>
        <w:adjustRightInd w:val="0"/>
        <w:snapToGrid w:val="0"/>
        <w:spacing w:before="0" w:after="0" w:line="240" w:lineRule="auto"/>
        <w:jc w:val="left"/>
        <w:rPr>
          <w:rFonts w:hint="eastAsia" w:ascii="仿宋_GB2312" w:hAnsi="仿宋_GB2312" w:eastAsia="仿宋_GB2312" w:cs="仿宋_GB2312"/>
          <w:szCs w:val="28"/>
        </w:rPr>
      </w:pPr>
    </w:p>
    <w:p>
      <w:pPr>
        <w:pStyle w:val="4"/>
        <w:adjustRightInd w:val="0"/>
        <w:snapToGrid w:val="0"/>
        <w:spacing w:before="0" w:after="0" w:line="240" w:lineRule="auto"/>
        <w:jc w:val="left"/>
        <w:rPr>
          <w:rFonts w:hint="eastAsia" w:ascii="仿宋_GB2312" w:hAnsi="仿宋_GB2312" w:eastAsia="仿宋_GB2312" w:cs="仿宋_GB2312"/>
          <w:szCs w:val="28"/>
        </w:rPr>
      </w:pPr>
    </w:p>
    <w:p>
      <w:pPr>
        <w:pStyle w:val="4"/>
        <w:adjustRightInd w:val="0"/>
        <w:snapToGrid w:val="0"/>
        <w:spacing w:before="0" w:after="0" w:line="240" w:lineRule="auto"/>
        <w:jc w:val="left"/>
        <w:rPr>
          <w:rFonts w:hint="eastAsia" w:ascii="仿宋_GB2312" w:hAnsi="仿宋_GB2312" w:eastAsia="仿宋_GB2312" w:cs="仿宋_GB2312"/>
          <w:szCs w:val="28"/>
        </w:rPr>
      </w:pPr>
    </w:p>
    <w:p>
      <w:pPr>
        <w:pStyle w:val="4"/>
        <w:adjustRightInd w:val="0"/>
        <w:snapToGrid w:val="0"/>
        <w:spacing w:before="0" w:after="0" w:line="240" w:lineRule="auto"/>
        <w:jc w:val="left"/>
        <w:rPr>
          <w:rFonts w:hint="eastAsia" w:ascii="仿宋_GB2312" w:hAnsi="仿宋_GB2312" w:eastAsia="仿宋_GB2312" w:cs="仿宋_GB2312"/>
          <w:szCs w:val="28"/>
        </w:rPr>
      </w:pPr>
    </w:p>
    <w:p>
      <w:pPr>
        <w:pStyle w:val="4"/>
        <w:adjustRightInd w:val="0"/>
        <w:snapToGrid w:val="0"/>
        <w:spacing w:before="0" w:after="0" w:line="240" w:lineRule="auto"/>
        <w:jc w:val="left"/>
        <w:rPr>
          <w:rFonts w:hint="eastAsia" w:ascii="仿宋_GB2312" w:hAnsi="仿宋_GB2312" w:eastAsia="仿宋_GB2312" w:cs="仿宋_GB2312"/>
          <w:szCs w:val="28"/>
        </w:rPr>
      </w:pPr>
    </w:p>
    <w:p>
      <w:pPr>
        <w:pStyle w:val="4"/>
        <w:adjustRightInd w:val="0"/>
        <w:snapToGrid w:val="0"/>
        <w:spacing w:before="0" w:after="0" w:line="240" w:lineRule="auto"/>
        <w:jc w:val="left"/>
        <w:rPr>
          <w:rFonts w:hint="eastAsia" w:ascii="仿宋_GB2312" w:hAnsi="仿宋_GB2312" w:eastAsia="仿宋_GB2312" w:cs="仿宋_GB2312"/>
          <w:szCs w:val="28"/>
        </w:rPr>
      </w:pPr>
    </w:p>
    <w:p>
      <w:pPr>
        <w:pStyle w:val="4"/>
        <w:adjustRightInd w:val="0"/>
        <w:snapToGrid w:val="0"/>
        <w:spacing w:before="0" w:after="0" w:line="240" w:lineRule="auto"/>
        <w:jc w:val="left"/>
        <w:rPr>
          <w:rFonts w:hint="eastAsia" w:ascii="仿宋_GB2312" w:hAnsi="仿宋_GB2312" w:eastAsia="仿宋_GB2312" w:cs="仿宋_GB2312"/>
          <w:szCs w:val="28"/>
        </w:rPr>
      </w:pPr>
    </w:p>
    <w:p>
      <w:pPr>
        <w:pStyle w:val="4"/>
        <w:adjustRightInd w:val="0"/>
        <w:snapToGrid w:val="0"/>
        <w:spacing w:before="0" w:after="0" w:line="240" w:lineRule="auto"/>
        <w:jc w:val="left"/>
        <w:rPr>
          <w:rFonts w:hint="eastAsia" w:ascii="仿宋_GB2312" w:hAnsi="仿宋_GB2312" w:eastAsia="仿宋_GB2312" w:cs="仿宋_GB2312"/>
          <w:szCs w:val="28"/>
        </w:rPr>
      </w:pPr>
    </w:p>
    <w:p>
      <w:pPr>
        <w:pStyle w:val="4"/>
        <w:adjustRightInd w:val="0"/>
        <w:snapToGrid w:val="0"/>
        <w:spacing w:before="0" w:after="0" w:line="240" w:lineRule="auto"/>
        <w:jc w:val="left"/>
        <w:rPr>
          <w:rFonts w:hint="eastAsia" w:ascii="仿宋_GB2312" w:hAnsi="仿宋_GB2312" w:eastAsia="仿宋_GB2312" w:cs="仿宋_GB2312"/>
          <w:szCs w:val="28"/>
        </w:rPr>
      </w:pPr>
    </w:p>
    <w:p>
      <w:pPr>
        <w:pStyle w:val="4"/>
        <w:adjustRightInd w:val="0"/>
        <w:snapToGrid w:val="0"/>
        <w:spacing w:before="0" w:after="0" w:line="240" w:lineRule="auto"/>
        <w:jc w:val="left"/>
        <w:rPr>
          <w:rFonts w:hint="eastAsia" w:ascii="仿宋_GB2312" w:hAnsi="仿宋_GB2312" w:eastAsia="仿宋_GB2312" w:cs="仿宋_GB2312"/>
          <w:szCs w:val="28"/>
        </w:rPr>
      </w:pPr>
    </w:p>
    <w:p>
      <w:pPr>
        <w:rPr>
          <w:rFonts w:hint="eastAsia"/>
        </w:rPr>
      </w:pPr>
    </w:p>
    <w:p>
      <w:pPr>
        <w:pStyle w:val="4"/>
        <w:adjustRightInd w:val="0"/>
        <w:snapToGrid w:val="0"/>
        <w:spacing w:before="0" w:after="0" w:line="240" w:lineRule="auto"/>
        <w:jc w:val="left"/>
        <w:rPr>
          <w:rFonts w:hint="eastAsia" w:ascii="仿宋_GB2312" w:hAnsi="仿宋_GB2312" w:eastAsia="仿宋_GB2312" w:cs="仿宋_GB2312"/>
          <w:szCs w:val="28"/>
        </w:rPr>
      </w:pPr>
    </w:p>
    <w:p>
      <w:pPr>
        <w:pStyle w:val="4"/>
        <w:adjustRightInd w:val="0"/>
        <w:snapToGrid w:val="0"/>
        <w:spacing w:before="0" w:after="0" w:line="240" w:lineRule="auto"/>
        <w:jc w:val="both"/>
        <w:rPr>
          <w:rFonts w:ascii="仿宋_GB2312" w:hAnsi="仿宋_GB2312" w:eastAsia="仿宋_GB2312" w:cs="仿宋_GB2312"/>
          <w:szCs w:val="28"/>
        </w:rPr>
      </w:pPr>
      <w:r>
        <w:rPr>
          <w:rFonts w:hint="eastAsia" w:ascii="仿宋_GB2312" w:hAnsi="仿宋_GB2312" w:eastAsia="仿宋_GB2312" w:cs="仿宋_GB2312"/>
          <w:szCs w:val="28"/>
        </w:rPr>
        <w:t>格式16</w:t>
      </w:r>
    </w:p>
    <w:p>
      <w:pPr>
        <w:spacing w:before="319" w:beforeLines="100" w:after="319" w:afterLines="100" w:line="360" w:lineRule="auto"/>
        <w:ind w:firstLine="640" w:firstLineChars="200"/>
        <w:jc w:val="center"/>
        <w:rPr>
          <w:rFonts w:ascii="仿宋_GB2312" w:hAnsi="仿宋_GB2312" w:eastAsia="仿宋_GB2312" w:cs="仿宋_GB2312"/>
          <w:b/>
          <w:bCs/>
          <w:sz w:val="32"/>
          <w:szCs w:val="32"/>
        </w:rPr>
      </w:pPr>
      <w:bookmarkStart w:id="124" w:name="_Toc6847_WPSOffice_Level2"/>
      <w:bookmarkStart w:id="125" w:name="_Toc13329_WPSOffice_Level2"/>
      <w:r>
        <w:rPr>
          <w:rFonts w:hint="eastAsia" w:ascii="仿宋_GB2312" w:hAnsi="仿宋_GB2312" w:eastAsia="仿宋_GB2312" w:cs="仿宋_GB2312"/>
          <w:b/>
          <w:bCs/>
          <w:sz w:val="32"/>
          <w:szCs w:val="32"/>
        </w:rPr>
        <w:t>进口产品制造厂家的授权书</w:t>
      </w:r>
      <w:bookmarkEnd w:id="124"/>
      <w:bookmarkEnd w:id="125"/>
    </w:p>
    <w:p>
      <w:pPr>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u w:val="single"/>
        </w:rPr>
        <w:t>（采购人或采购代理机构）：</w:t>
      </w:r>
    </w:p>
    <w:p>
      <w:pPr>
        <w:spacing w:line="360" w:lineRule="auto"/>
        <w:ind w:firstLine="840" w:firstLineChars="400"/>
        <w:rPr>
          <w:rFonts w:ascii="仿宋_GB2312" w:hAnsi="仿宋_GB2312" w:eastAsia="仿宋_GB2312" w:cs="仿宋_GB2312"/>
          <w:szCs w:val="21"/>
        </w:rPr>
      </w:pPr>
      <w:r>
        <w:rPr>
          <w:rFonts w:hint="eastAsia" w:ascii="仿宋_GB2312" w:hAnsi="仿宋_GB2312" w:eastAsia="仿宋_GB2312" w:cs="仿宋_GB2312"/>
          <w:szCs w:val="21"/>
        </w:rPr>
        <w:t>我们</w:t>
      </w:r>
      <w:r>
        <w:rPr>
          <w:rFonts w:hint="eastAsia" w:ascii="仿宋_GB2312" w:hAnsi="仿宋_GB2312" w:eastAsia="仿宋_GB2312" w:cs="仿宋_GB2312"/>
          <w:szCs w:val="21"/>
          <w:u w:val="single"/>
        </w:rPr>
        <w:t>（制造商名称）</w:t>
      </w:r>
      <w:r>
        <w:rPr>
          <w:rFonts w:hint="eastAsia" w:ascii="仿宋_GB2312" w:hAnsi="仿宋_GB2312" w:eastAsia="仿宋_GB2312" w:cs="仿宋_GB2312"/>
          <w:szCs w:val="21"/>
        </w:rPr>
        <w:t>是按</w:t>
      </w:r>
      <w:r>
        <w:rPr>
          <w:rFonts w:hint="eastAsia" w:ascii="仿宋_GB2312" w:hAnsi="仿宋_GB2312" w:eastAsia="仿宋_GB2312" w:cs="仿宋_GB2312"/>
          <w:szCs w:val="21"/>
          <w:u w:val="single"/>
        </w:rPr>
        <w:t>（国家名称）</w:t>
      </w:r>
      <w:r>
        <w:rPr>
          <w:rFonts w:hint="eastAsia" w:ascii="仿宋_GB2312" w:hAnsi="仿宋_GB2312" w:eastAsia="仿宋_GB2312" w:cs="仿宋_GB2312"/>
          <w:szCs w:val="21"/>
        </w:rPr>
        <w:t>法律成立的一家制造商，主要营业地点设在</w:t>
      </w:r>
      <w:r>
        <w:rPr>
          <w:rFonts w:hint="eastAsia" w:ascii="仿宋_GB2312" w:hAnsi="仿宋_GB2312" w:eastAsia="仿宋_GB2312" w:cs="仿宋_GB2312"/>
          <w:szCs w:val="21"/>
          <w:u w:val="single"/>
        </w:rPr>
        <w:t>（制造商地址）</w:t>
      </w:r>
      <w:r>
        <w:rPr>
          <w:rFonts w:hint="eastAsia" w:ascii="仿宋_GB2312" w:hAnsi="仿宋_GB2312" w:eastAsia="仿宋_GB2312" w:cs="仿宋_GB2312"/>
          <w:szCs w:val="21"/>
        </w:rPr>
        <w:t>。兹指派按</w:t>
      </w:r>
      <w:r>
        <w:rPr>
          <w:rFonts w:hint="eastAsia" w:ascii="仿宋_GB2312" w:hAnsi="仿宋_GB2312" w:eastAsia="仿宋_GB2312" w:cs="仿宋_GB2312"/>
          <w:szCs w:val="21"/>
          <w:u w:val="single"/>
        </w:rPr>
        <w:t>（国家名称）</w:t>
      </w:r>
      <w:r>
        <w:rPr>
          <w:rFonts w:hint="eastAsia" w:ascii="仿宋_GB2312" w:hAnsi="仿宋_GB2312" w:eastAsia="仿宋_GB2312" w:cs="仿宋_GB2312"/>
          <w:szCs w:val="21"/>
        </w:rPr>
        <w:t>的法律正式成立的，主要营业地点设在</w:t>
      </w:r>
      <w:r>
        <w:rPr>
          <w:rFonts w:hint="eastAsia" w:ascii="仿宋_GB2312" w:hAnsi="仿宋_GB2312" w:eastAsia="仿宋_GB2312" w:cs="仿宋_GB2312"/>
          <w:szCs w:val="21"/>
          <w:u w:val="single"/>
        </w:rPr>
        <w:t>（投标人地址）</w:t>
      </w:r>
      <w:r>
        <w:rPr>
          <w:rFonts w:hint="eastAsia" w:ascii="仿宋_GB2312" w:hAnsi="仿宋_GB2312" w:eastAsia="仿宋_GB2312" w:cs="仿宋_GB2312"/>
          <w:szCs w:val="21"/>
        </w:rPr>
        <w:t>的</w:t>
      </w:r>
      <w:r>
        <w:rPr>
          <w:rFonts w:hint="eastAsia" w:ascii="仿宋_GB2312" w:hAnsi="仿宋_GB2312" w:eastAsia="仿宋_GB2312" w:cs="仿宋_GB2312"/>
          <w:szCs w:val="21"/>
          <w:u w:val="single"/>
        </w:rPr>
        <w:t>（投标人名称）</w:t>
      </w:r>
      <w:r>
        <w:rPr>
          <w:rFonts w:hint="eastAsia" w:ascii="仿宋_GB2312" w:hAnsi="仿宋_GB2312" w:eastAsia="仿宋_GB2312" w:cs="仿宋_GB2312"/>
          <w:szCs w:val="21"/>
        </w:rPr>
        <w:t>作为我方真正的合法的代理人进行下列有效的活动：</w:t>
      </w:r>
    </w:p>
    <w:p>
      <w:pPr>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（1）代表我方办理贵方</w:t>
      </w:r>
      <w:r>
        <w:rPr>
          <w:rFonts w:hint="eastAsia" w:ascii="仿宋_GB2312" w:hAnsi="仿宋_GB2312" w:eastAsia="仿宋_GB2312" w:cs="仿宋_GB2312"/>
          <w:szCs w:val="21"/>
          <w:u w:val="single"/>
        </w:rPr>
        <w:t xml:space="preserve"> （项目编号、项目名称、包号）</w:t>
      </w:r>
      <w:r>
        <w:rPr>
          <w:rFonts w:hint="eastAsia" w:ascii="仿宋_GB2312" w:hAnsi="仿宋_GB2312" w:eastAsia="仿宋_GB2312" w:cs="仿宋_GB2312"/>
          <w:szCs w:val="21"/>
        </w:rPr>
        <w:t xml:space="preserve"> 投标邀请要求提供的由我方制造的货物的有关事宜，并对我方具有约束力。</w:t>
      </w:r>
    </w:p>
    <w:p>
      <w:pPr>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（2）作为制造商，我方保证以投标合作者来约束自己，并对该投标共同和分别承担招标文件中所规定的义务。</w:t>
      </w:r>
    </w:p>
    <w:p>
      <w:pPr>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（3）我方兹授予</w:t>
      </w:r>
      <w:r>
        <w:rPr>
          <w:rFonts w:hint="eastAsia" w:ascii="仿宋_GB2312" w:hAnsi="仿宋_GB2312" w:eastAsia="仿宋_GB2312" w:cs="仿宋_GB2312"/>
          <w:szCs w:val="21"/>
          <w:u w:val="single"/>
        </w:rPr>
        <w:t xml:space="preserve"> （投标人名称） </w:t>
      </w:r>
      <w:r>
        <w:rPr>
          <w:rFonts w:hint="eastAsia" w:ascii="仿宋_GB2312" w:hAnsi="仿宋_GB2312" w:eastAsia="仿宋_GB2312" w:cs="仿宋_GB2312"/>
          <w:szCs w:val="21"/>
        </w:rPr>
        <w:t xml:space="preserve">全权办理和履行上述我方为完成上述各点所必须的事宜，具有替换或撤销的全权。兹确认 </w:t>
      </w:r>
      <w:r>
        <w:rPr>
          <w:rFonts w:hint="eastAsia" w:ascii="仿宋_GB2312" w:hAnsi="仿宋_GB2312" w:eastAsia="仿宋_GB2312" w:cs="仿宋_GB2312"/>
          <w:szCs w:val="21"/>
          <w:u w:val="single"/>
        </w:rPr>
        <w:t xml:space="preserve">（投标人名称） </w:t>
      </w:r>
      <w:r>
        <w:rPr>
          <w:rFonts w:hint="eastAsia" w:ascii="仿宋_GB2312" w:hAnsi="仿宋_GB2312" w:eastAsia="仿宋_GB2312" w:cs="仿宋_GB2312"/>
          <w:szCs w:val="21"/>
        </w:rPr>
        <w:t>或其正式授权代表依此合法地办理一切事宜。</w:t>
      </w:r>
    </w:p>
    <w:p>
      <w:pPr>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（4）我方于</w:t>
      </w:r>
      <w:r>
        <w:rPr>
          <w:rFonts w:hint="eastAsia" w:ascii="仿宋_GB2312" w:hAnsi="仿宋_GB2312" w:eastAsia="仿宋_GB2312" w:cs="仿宋_GB2312"/>
          <w:szCs w:val="21"/>
          <w:u w:val="single"/>
        </w:rPr>
        <w:t xml:space="preserve"> 年 月 日</w:t>
      </w:r>
      <w:r>
        <w:rPr>
          <w:rFonts w:hint="eastAsia" w:ascii="仿宋_GB2312" w:hAnsi="仿宋_GB2312" w:eastAsia="仿宋_GB2312" w:cs="仿宋_GB2312"/>
          <w:szCs w:val="21"/>
        </w:rPr>
        <w:t>签署本文件，</w:t>
      </w:r>
      <w:r>
        <w:rPr>
          <w:rFonts w:hint="eastAsia" w:ascii="仿宋_GB2312" w:hAnsi="仿宋_GB2312" w:eastAsia="仿宋_GB2312" w:cs="仿宋_GB2312"/>
          <w:szCs w:val="21"/>
          <w:u w:val="single"/>
        </w:rPr>
        <w:t xml:space="preserve"> （投标人名称）</w:t>
      </w:r>
      <w:r>
        <w:rPr>
          <w:rFonts w:hint="eastAsia" w:ascii="仿宋_GB2312" w:hAnsi="仿宋_GB2312" w:eastAsia="仿宋_GB2312" w:cs="仿宋_GB2312"/>
          <w:szCs w:val="21"/>
        </w:rPr>
        <w:t>于</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日接受此件，以此为证。</w:t>
      </w:r>
    </w:p>
    <w:p>
      <w:pPr>
        <w:spacing w:line="360" w:lineRule="auto"/>
        <w:ind w:firstLine="420" w:firstLineChars="200"/>
        <w:rPr>
          <w:rFonts w:ascii="仿宋_GB2312" w:hAnsi="仿宋_GB2312" w:eastAsia="仿宋_GB2312" w:cs="仿宋_GB2312"/>
          <w:szCs w:val="21"/>
        </w:rPr>
      </w:pP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制造商名称（加盖单位公章）：</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rPr>
        <w:t>签字人职务和部门：</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签字人姓名：</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rPr>
        <w:t>签字人（签字）：</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rPr>
        <w:t>日期：</w:t>
      </w:r>
      <w:r>
        <w:rPr>
          <w:rFonts w:hint="eastAsia" w:ascii="仿宋_GB2312" w:hAnsi="仿宋_GB2312" w:eastAsia="仿宋_GB2312" w:cs="仿宋_GB2312"/>
          <w:szCs w:val="21"/>
          <w:u w:val="single"/>
        </w:rPr>
        <w:t xml:space="preserve">                                     </w:t>
      </w:r>
    </w:p>
    <w:p>
      <w:pPr>
        <w:spacing w:line="360" w:lineRule="auto"/>
        <w:ind w:firstLine="420" w:firstLineChars="200"/>
        <w:rPr>
          <w:rFonts w:ascii="仿宋_GB2312" w:hAnsi="仿宋_GB2312" w:eastAsia="仿宋_GB2312" w:cs="仿宋_GB2312"/>
          <w:szCs w:val="21"/>
          <w:u w:val="single"/>
        </w:rPr>
      </w:pPr>
    </w:p>
    <w:p>
      <w:pPr>
        <w:spacing w:line="360" w:lineRule="auto"/>
        <w:ind w:firstLine="420" w:firstLineChars="200"/>
        <w:rPr>
          <w:rFonts w:ascii="仿宋_GB2312" w:hAnsi="仿宋_GB2312" w:eastAsia="仿宋_GB2312" w:cs="仿宋_GB2312"/>
          <w:szCs w:val="21"/>
          <w:u w:val="single"/>
        </w:rPr>
      </w:pPr>
    </w:p>
    <w:p>
      <w:pPr>
        <w:spacing w:line="360" w:lineRule="auto"/>
        <w:ind w:firstLine="420" w:firstLineChars="200"/>
        <w:rPr>
          <w:rFonts w:ascii="仿宋_GB2312" w:hAnsi="仿宋_GB2312" w:eastAsia="仿宋_GB2312" w:cs="仿宋_GB2312"/>
          <w:szCs w:val="21"/>
        </w:rPr>
      </w:pPr>
    </w:p>
    <w:p>
      <w:pPr>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（以上格式仅供参考，投标人就以上内容自拟格式，但必须体现出制造商名称及地址、被授权单位名称及地址，授权事项中要求明确体现出制造商同意对投标人提供其制造的货物及相关伴随服务等内容）</w:t>
      </w:r>
    </w:p>
    <w:p>
      <w:pPr>
        <w:spacing w:line="360" w:lineRule="auto"/>
        <w:outlineLvl w:val="1"/>
        <w:rPr>
          <w:rFonts w:hint="eastAsia" w:ascii="仿宋_GB2312" w:hAnsi="仿宋_GB2312" w:eastAsia="仿宋_GB2312" w:cs="仿宋_GB2312"/>
          <w:b/>
          <w:bCs/>
          <w:sz w:val="28"/>
          <w:szCs w:val="28"/>
        </w:rPr>
      </w:pPr>
      <w:bookmarkStart w:id="126" w:name="_Toc533340164"/>
      <w:bookmarkStart w:id="127" w:name="_Toc4485640"/>
      <w:bookmarkStart w:id="128" w:name="_Toc29880_WPSOffice_Level2"/>
      <w:bookmarkStart w:id="129" w:name="_Toc13566_WPSOffice_Level2"/>
      <w:r>
        <w:rPr>
          <w:rFonts w:hint="eastAsia" w:ascii="仿宋_GB2312" w:hAnsi="仿宋_GB2312" w:eastAsia="仿宋_GB2312" w:cs="仿宋_GB2312"/>
          <w:b/>
          <w:bCs/>
          <w:sz w:val="28"/>
          <w:szCs w:val="28"/>
        </w:rPr>
        <w:t>格式1</w:t>
      </w:r>
      <w:bookmarkEnd w:id="126"/>
      <w:r>
        <w:rPr>
          <w:rFonts w:hint="eastAsia" w:ascii="仿宋_GB2312" w:hAnsi="仿宋_GB2312" w:eastAsia="仿宋_GB2312" w:cs="仿宋_GB2312"/>
          <w:b/>
          <w:bCs/>
          <w:sz w:val="28"/>
          <w:szCs w:val="28"/>
        </w:rPr>
        <w:t>7</w:t>
      </w:r>
      <w:bookmarkEnd w:id="127"/>
    </w:p>
    <w:p>
      <w:pPr>
        <w:adjustRightInd w:val="0"/>
        <w:snapToGrid w:val="0"/>
        <w:spacing w:line="480" w:lineRule="auto"/>
        <w:ind w:right="105" w:rightChars="50"/>
        <w:jc w:val="center"/>
        <w:rPr>
          <w:rFonts w:ascii="仿宋_GB2312" w:hAnsi="仿宋_GB2312" w:eastAsia="仿宋_GB2312" w:cs="仿宋_GB2312"/>
          <w:b/>
          <w:bCs/>
          <w:sz w:val="32"/>
          <w:szCs w:val="32"/>
        </w:rPr>
      </w:pPr>
      <w:bookmarkStart w:id="130" w:name="_Hlk73968874"/>
      <w:r>
        <w:rPr>
          <w:rFonts w:hint="eastAsia" w:ascii="仿宋_GB2312" w:hAnsi="仿宋_GB2312" w:eastAsia="仿宋_GB2312" w:cs="仿宋_GB2312"/>
          <w:b/>
          <w:bCs/>
          <w:sz w:val="32"/>
          <w:szCs w:val="32"/>
        </w:rPr>
        <w:t>中小企业声明函（货物）</w:t>
      </w:r>
    </w:p>
    <w:bookmarkEnd w:id="130"/>
    <w:p>
      <w:pPr>
        <w:ind w:firstLine="420" w:firstLineChars="200"/>
        <w:rPr>
          <w:rFonts w:hint="eastAsia" w:ascii="仿宋_GB2312" w:eastAsia="仿宋_GB2312"/>
        </w:rPr>
      </w:pPr>
      <w:r>
        <w:rPr>
          <w:rFonts w:hint="eastAsia" w:ascii="仿宋_GB2312" w:eastAsia="仿宋_GB2312"/>
        </w:rPr>
        <w:t>本公司（联合体）郑重声明，根据《政府采购促进中小企业发展管理办法》（财库</w:t>
      </w:r>
      <w:r>
        <w:rPr>
          <w:rFonts w:hint="eastAsia" w:ascii="微软雅黑" w:hAnsi="微软雅黑" w:eastAsia="微软雅黑" w:cs="微软雅黑"/>
        </w:rPr>
        <w:t>﹝</w:t>
      </w:r>
      <w:r>
        <w:rPr>
          <w:rFonts w:hint="eastAsia" w:ascii="仿宋_GB2312" w:eastAsia="仿宋_GB2312"/>
        </w:rPr>
        <w:t>2020</w:t>
      </w:r>
      <w:r>
        <w:rPr>
          <w:rFonts w:hint="eastAsia" w:ascii="微软雅黑" w:hAnsi="微软雅黑" w:eastAsia="微软雅黑" w:cs="微软雅黑"/>
        </w:rPr>
        <w:t>﹞</w:t>
      </w:r>
      <w:r>
        <w:rPr>
          <w:rFonts w:hint="eastAsia" w:ascii="仿宋_GB2312" w:eastAsia="仿宋_GB2312"/>
        </w:rPr>
        <w:t>46 号）的规定，本公司（联合体）参加 （单位名称） 的 （项目名称） 采购活动，提</w:t>
      </w:r>
    </w:p>
    <w:p>
      <w:pPr>
        <w:rPr>
          <w:rFonts w:hint="eastAsia" w:ascii="仿宋_GB2312" w:eastAsia="仿宋_GB2312"/>
        </w:rPr>
      </w:pPr>
      <w:r>
        <w:rPr>
          <w:rFonts w:hint="eastAsia" w:ascii="仿宋_GB2312" w:eastAsia="仿宋_GB2312"/>
        </w:rPr>
        <w:t>供的货物全部由符合政策要求的中小企业制造。相关企业（含联合体中的中小企业、签订分包意向协议的中小企业）的具体情况如下：</w:t>
      </w:r>
    </w:p>
    <w:p>
      <w:pPr>
        <w:ind w:firstLine="420" w:firstLineChars="200"/>
        <w:rPr>
          <w:rFonts w:hint="eastAsia" w:ascii="仿宋_GB2312" w:eastAsia="仿宋_GB2312"/>
        </w:rPr>
      </w:pPr>
      <w:r>
        <w:rPr>
          <w:rFonts w:hint="eastAsia" w:ascii="仿宋_GB2312" w:eastAsia="仿宋_GB2312"/>
        </w:rPr>
        <w:t>1.（标的名称） ，属于（采购文件中明确的所属行业）行业 ；制造商为（企业名称） ，从业人员 人，营业收入为 万元，资产总额为 万元① ，属于（中型企业、小型企业、微型企业） ；</w:t>
      </w:r>
    </w:p>
    <w:p>
      <w:pPr>
        <w:ind w:firstLine="420" w:firstLineChars="200"/>
        <w:rPr>
          <w:rFonts w:hint="eastAsia" w:ascii="仿宋_GB2312" w:eastAsia="仿宋_GB2312"/>
        </w:rPr>
      </w:pPr>
      <w:r>
        <w:rPr>
          <w:rFonts w:hint="eastAsia" w:ascii="仿宋_GB2312" w:eastAsia="仿宋_GB2312"/>
        </w:rPr>
        <w:t>2.（标的名称） ，属于（采购文件中明确的所属行业）行业 ；制造商为（企业名称） ，从业人员 人，营业收入为 万元，资产总额为 万元，属于（中型企业、小型企业、微型企业）；</w:t>
      </w:r>
    </w:p>
    <w:p>
      <w:pPr>
        <w:ind w:firstLine="420" w:firstLineChars="200"/>
        <w:rPr>
          <w:rFonts w:hint="eastAsia" w:ascii="仿宋_GB2312" w:eastAsia="仿宋_GB2312"/>
        </w:rPr>
      </w:pPr>
      <w:r>
        <w:rPr>
          <w:rFonts w:hint="eastAsia" w:ascii="仿宋_GB2312" w:eastAsia="仿宋_GB2312"/>
        </w:rPr>
        <w:t>……</w:t>
      </w:r>
    </w:p>
    <w:p>
      <w:pPr>
        <w:ind w:firstLine="420" w:firstLineChars="200"/>
        <w:rPr>
          <w:rFonts w:hint="eastAsia" w:ascii="仿宋_GB2312" w:eastAsia="仿宋_GB2312"/>
        </w:rPr>
      </w:pPr>
      <w:r>
        <w:rPr>
          <w:rFonts w:hint="eastAsia" w:ascii="仿宋_GB2312" w:eastAsia="仿宋_GB2312"/>
        </w:rPr>
        <w:t>以上企业，不属于大企业的分支机构，不存在控股股东为大企业的情形，也不存在与大企业的负责人为同一人的情形。</w:t>
      </w:r>
    </w:p>
    <w:p>
      <w:pPr>
        <w:ind w:firstLine="420" w:firstLineChars="200"/>
        <w:rPr>
          <w:rFonts w:hint="eastAsia" w:ascii="仿宋_GB2312" w:eastAsia="仿宋_GB2312"/>
        </w:rPr>
      </w:pPr>
      <w:r>
        <w:rPr>
          <w:rFonts w:hint="eastAsia" w:ascii="仿宋_GB2312" w:eastAsia="仿宋_GB2312"/>
        </w:rPr>
        <w:t>本企业对上述声明内容的真实性负责。如有虚假，将依法承担相应责任。</w:t>
      </w:r>
    </w:p>
    <w:p>
      <w:pPr>
        <w:rPr>
          <w:rFonts w:ascii="仿宋_GB2312" w:eastAsia="仿宋_GB2312"/>
        </w:rPr>
      </w:pPr>
      <w:r>
        <w:rPr>
          <w:rFonts w:hint="eastAsia" w:ascii="仿宋_GB2312" w:eastAsia="仿宋_GB2312"/>
        </w:rPr>
        <w:t xml:space="preserve">                         </w:t>
      </w:r>
    </w:p>
    <w:p>
      <w:pPr>
        <w:ind w:firstLine="3360" w:firstLineChars="1600"/>
        <w:rPr>
          <w:rFonts w:hint="eastAsia" w:ascii="仿宋_GB2312" w:eastAsia="仿宋_GB2312"/>
        </w:rPr>
      </w:pPr>
      <w:r>
        <w:rPr>
          <w:rFonts w:hint="eastAsia" w:ascii="仿宋_GB2312" w:eastAsia="仿宋_GB2312"/>
        </w:rPr>
        <w:t xml:space="preserve">     企业名称（盖章）：</w:t>
      </w:r>
    </w:p>
    <w:p>
      <w:pPr>
        <w:ind w:firstLine="4200" w:firstLineChars="2000"/>
        <w:rPr>
          <w:rFonts w:ascii="仿宋_GB2312" w:eastAsia="仿宋_GB2312"/>
        </w:rPr>
      </w:pPr>
      <w:r>
        <w:rPr>
          <w:rFonts w:hint="eastAsia" w:ascii="仿宋_GB2312" w:eastAsia="仿宋_GB2312"/>
        </w:rPr>
        <w:t>日 期：</w:t>
      </w:r>
    </w:p>
    <w:p>
      <w:pPr>
        <w:ind w:firstLine="3780" w:firstLineChars="1800"/>
        <w:rPr>
          <w:rFonts w:hint="eastAsia" w:ascii="仿宋_GB2312" w:eastAsia="仿宋_GB2312"/>
        </w:rPr>
      </w:pPr>
    </w:p>
    <w:p>
      <w:pPr>
        <w:numPr>
          <w:ilvl w:val="0"/>
          <w:numId w:val="5"/>
        </w:numPr>
        <w:adjustRightInd w:val="0"/>
        <w:snapToGrid w:val="0"/>
        <w:spacing w:line="480" w:lineRule="auto"/>
        <w:ind w:right="105" w:rightChars="50"/>
        <w:jc w:val="left"/>
        <w:rPr>
          <w:rFonts w:ascii="仿宋_GB2312" w:hAnsi="仿宋_GB2312" w:eastAsia="仿宋_GB2312" w:cs="仿宋_GB2312"/>
          <w:szCs w:val="21"/>
        </w:rPr>
      </w:pPr>
      <w:r>
        <w:rPr>
          <w:rFonts w:hint="eastAsia" w:ascii="仿宋_GB2312" w:eastAsia="仿宋_GB2312"/>
        </w:rPr>
        <w:t>从业人员、营业收入、资产总额填报上一年度数据，无上一年度数据的新成立企业可不填报</w:t>
      </w:r>
      <w:r>
        <w:rPr>
          <w:rFonts w:hint="eastAsia" w:ascii="仿宋_GB2312" w:hAnsi="仿宋_GB2312" w:eastAsia="仿宋_GB2312" w:cs="仿宋_GB2312"/>
          <w:szCs w:val="21"/>
        </w:rPr>
        <w:br w:type="page"/>
      </w:r>
    </w:p>
    <w:p>
      <w:pPr>
        <w:pStyle w:val="4"/>
        <w:adjustRightInd w:val="0"/>
        <w:snapToGrid w:val="0"/>
        <w:spacing w:before="0" w:after="0" w:line="24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格式18</w:t>
      </w:r>
    </w:p>
    <w:p>
      <w:pPr>
        <w:spacing w:before="319" w:beforeLines="100" w:line="360" w:lineRule="auto"/>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制造商企业（单位）类型声明函</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本企业（单位）作为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单位的</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项目的设备制造商，参加政府采购活动。根据《政府采购促进中小企业发展暂行办法》（财库[2011]181 号），《工业和信息化部、国家统计局、国家发展和改革委员会、财政部关于印发中小企业划型标准规定的通知》（工信部联企业[2011]300 号）、《财政部、司法部关于政府采购支持监狱企业发展有关问题的通知》（财库〔2014〕68 号）以及《关于促进残疾人就业政府采购政策的通知》（财库〔2017〕141 号）的有关规定，作出如下声明：</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本企业（单位）为</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szCs w:val="21"/>
        </w:rPr>
        <w:t>（请填写：中型、小型、微型）企业。</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本企业（单位）</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szCs w:val="21"/>
        </w:rPr>
        <w:t>（请填写：是、不是）监狱企业。后附省级以上监狱管理局、戒毒管理局（含新疆生产建设兵团）出具的属于监狱企业的证明文件。</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本企业（单位）</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szCs w:val="21"/>
        </w:rPr>
        <w:t>（请填写：是、不是）残疾人福利性单位。</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本次政府采购活动提供的货物（详见下表）是本企业（单位）制造的。</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本企业（单位）对上述声明的真实性负责。如有虚假，将依法承担相应责任。</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tbl>
      <w:tblPr>
        <w:tblStyle w:val="19"/>
        <w:tblW w:w="8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82"/>
        <w:gridCol w:w="1587"/>
        <w:gridCol w:w="1427"/>
        <w:gridCol w:w="1427"/>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53" w:type="dxa"/>
            <w:noWrap w:val="0"/>
            <w:vAlign w:val="center"/>
          </w:tcPr>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1582" w:type="dxa"/>
            <w:noWrap w:val="0"/>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品  名</w:t>
            </w:r>
          </w:p>
        </w:tc>
        <w:tc>
          <w:tcPr>
            <w:tcW w:w="1587" w:type="dxa"/>
            <w:noWrap w:val="0"/>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数量</w:t>
            </w:r>
          </w:p>
        </w:tc>
        <w:tc>
          <w:tcPr>
            <w:tcW w:w="1427" w:type="dxa"/>
            <w:noWrap w:val="0"/>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规格</w:t>
            </w:r>
          </w:p>
          <w:p>
            <w:pPr>
              <w:jc w:val="center"/>
              <w:rPr>
                <w:rFonts w:ascii="仿宋_GB2312" w:hAnsi="仿宋_GB2312" w:eastAsia="仿宋_GB2312" w:cs="仿宋_GB2312"/>
                <w:szCs w:val="21"/>
              </w:rPr>
            </w:pPr>
            <w:r>
              <w:rPr>
                <w:rFonts w:hint="eastAsia" w:ascii="仿宋_GB2312" w:hAnsi="仿宋_GB2312" w:eastAsia="仿宋_GB2312" w:cs="仿宋_GB2312"/>
                <w:szCs w:val="21"/>
              </w:rPr>
              <w:t>型号</w:t>
            </w:r>
          </w:p>
        </w:tc>
        <w:tc>
          <w:tcPr>
            <w:tcW w:w="1427" w:type="dxa"/>
            <w:noWrap w:val="0"/>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生产</w:t>
            </w:r>
          </w:p>
          <w:p>
            <w:pPr>
              <w:jc w:val="center"/>
              <w:rPr>
                <w:rFonts w:ascii="仿宋_GB2312" w:hAnsi="仿宋_GB2312" w:eastAsia="仿宋_GB2312" w:cs="仿宋_GB2312"/>
                <w:szCs w:val="21"/>
              </w:rPr>
            </w:pPr>
            <w:r>
              <w:rPr>
                <w:rFonts w:hint="eastAsia" w:ascii="仿宋_GB2312" w:hAnsi="仿宋_GB2312" w:eastAsia="仿宋_GB2312" w:cs="仿宋_GB2312"/>
                <w:szCs w:val="21"/>
              </w:rPr>
              <w:t>厂家</w:t>
            </w:r>
          </w:p>
        </w:tc>
        <w:tc>
          <w:tcPr>
            <w:tcW w:w="1344" w:type="dxa"/>
            <w:noWrap w:val="0"/>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53" w:type="dxa"/>
            <w:noWrap w:val="0"/>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1582" w:type="dxa"/>
            <w:noWrap w:val="0"/>
            <w:vAlign w:val="center"/>
          </w:tcPr>
          <w:p>
            <w:pPr>
              <w:jc w:val="center"/>
              <w:rPr>
                <w:rFonts w:ascii="仿宋_GB2312" w:hAnsi="仿宋_GB2312" w:eastAsia="仿宋_GB2312" w:cs="仿宋_GB2312"/>
                <w:szCs w:val="21"/>
              </w:rPr>
            </w:pPr>
          </w:p>
        </w:tc>
        <w:tc>
          <w:tcPr>
            <w:tcW w:w="1587" w:type="dxa"/>
            <w:noWrap w:val="0"/>
            <w:vAlign w:val="center"/>
          </w:tcPr>
          <w:p>
            <w:pPr>
              <w:jc w:val="center"/>
              <w:rPr>
                <w:rFonts w:ascii="仿宋_GB2312" w:hAnsi="仿宋_GB2312" w:eastAsia="仿宋_GB2312" w:cs="仿宋_GB2312"/>
                <w:szCs w:val="21"/>
              </w:rPr>
            </w:pPr>
          </w:p>
        </w:tc>
        <w:tc>
          <w:tcPr>
            <w:tcW w:w="1427" w:type="dxa"/>
            <w:noWrap w:val="0"/>
            <w:vAlign w:val="center"/>
          </w:tcPr>
          <w:p>
            <w:pPr>
              <w:jc w:val="center"/>
              <w:rPr>
                <w:rFonts w:ascii="仿宋_GB2312" w:hAnsi="仿宋_GB2312" w:eastAsia="仿宋_GB2312" w:cs="仿宋_GB2312"/>
                <w:szCs w:val="21"/>
              </w:rPr>
            </w:pPr>
          </w:p>
        </w:tc>
        <w:tc>
          <w:tcPr>
            <w:tcW w:w="1427" w:type="dxa"/>
            <w:noWrap w:val="0"/>
            <w:vAlign w:val="center"/>
          </w:tcPr>
          <w:p>
            <w:pPr>
              <w:jc w:val="center"/>
              <w:rPr>
                <w:rFonts w:ascii="仿宋_GB2312" w:hAnsi="仿宋_GB2312" w:eastAsia="仿宋_GB2312" w:cs="仿宋_GB2312"/>
                <w:szCs w:val="21"/>
              </w:rPr>
            </w:pPr>
          </w:p>
        </w:tc>
        <w:tc>
          <w:tcPr>
            <w:tcW w:w="1344" w:type="dxa"/>
            <w:noWrap w:val="0"/>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53" w:type="dxa"/>
            <w:noWrap w:val="0"/>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582" w:type="dxa"/>
            <w:noWrap w:val="0"/>
            <w:vAlign w:val="center"/>
          </w:tcPr>
          <w:p>
            <w:pPr>
              <w:jc w:val="center"/>
              <w:rPr>
                <w:rFonts w:ascii="仿宋_GB2312" w:hAnsi="仿宋_GB2312" w:eastAsia="仿宋_GB2312" w:cs="仿宋_GB2312"/>
                <w:szCs w:val="21"/>
              </w:rPr>
            </w:pPr>
          </w:p>
        </w:tc>
        <w:tc>
          <w:tcPr>
            <w:tcW w:w="1587" w:type="dxa"/>
            <w:noWrap w:val="0"/>
            <w:vAlign w:val="center"/>
          </w:tcPr>
          <w:p>
            <w:pPr>
              <w:jc w:val="center"/>
              <w:rPr>
                <w:rFonts w:ascii="仿宋_GB2312" w:hAnsi="仿宋_GB2312" w:eastAsia="仿宋_GB2312" w:cs="仿宋_GB2312"/>
                <w:szCs w:val="21"/>
              </w:rPr>
            </w:pPr>
          </w:p>
        </w:tc>
        <w:tc>
          <w:tcPr>
            <w:tcW w:w="1427" w:type="dxa"/>
            <w:noWrap w:val="0"/>
            <w:vAlign w:val="center"/>
          </w:tcPr>
          <w:p>
            <w:pPr>
              <w:jc w:val="center"/>
              <w:rPr>
                <w:rFonts w:ascii="仿宋_GB2312" w:hAnsi="仿宋_GB2312" w:eastAsia="仿宋_GB2312" w:cs="仿宋_GB2312"/>
                <w:szCs w:val="21"/>
              </w:rPr>
            </w:pPr>
          </w:p>
        </w:tc>
        <w:tc>
          <w:tcPr>
            <w:tcW w:w="1427" w:type="dxa"/>
            <w:noWrap w:val="0"/>
            <w:vAlign w:val="center"/>
          </w:tcPr>
          <w:p>
            <w:pPr>
              <w:jc w:val="center"/>
              <w:rPr>
                <w:rFonts w:ascii="仿宋_GB2312" w:hAnsi="仿宋_GB2312" w:eastAsia="仿宋_GB2312" w:cs="仿宋_GB2312"/>
                <w:szCs w:val="21"/>
              </w:rPr>
            </w:pPr>
          </w:p>
        </w:tc>
        <w:tc>
          <w:tcPr>
            <w:tcW w:w="1344" w:type="dxa"/>
            <w:noWrap w:val="0"/>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53" w:type="dxa"/>
            <w:noWrap w:val="0"/>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582" w:type="dxa"/>
            <w:noWrap w:val="0"/>
            <w:vAlign w:val="center"/>
          </w:tcPr>
          <w:p>
            <w:pPr>
              <w:jc w:val="center"/>
              <w:rPr>
                <w:rFonts w:ascii="仿宋_GB2312" w:hAnsi="仿宋_GB2312" w:eastAsia="仿宋_GB2312" w:cs="仿宋_GB2312"/>
                <w:szCs w:val="21"/>
              </w:rPr>
            </w:pPr>
          </w:p>
        </w:tc>
        <w:tc>
          <w:tcPr>
            <w:tcW w:w="1587" w:type="dxa"/>
            <w:noWrap w:val="0"/>
            <w:vAlign w:val="center"/>
          </w:tcPr>
          <w:p>
            <w:pPr>
              <w:jc w:val="center"/>
              <w:rPr>
                <w:rFonts w:ascii="仿宋_GB2312" w:hAnsi="仿宋_GB2312" w:eastAsia="仿宋_GB2312" w:cs="仿宋_GB2312"/>
                <w:szCs w:val="21"/>
              </w:rPr>
            </w:pPr>
          </w:p>
        </w:tc>
        <w:tc>
          <w:tcPr>
            <w:tcW w:w="1427" w:type="dxa"/>
            <w:noWrap w:val="0"/>
            <w:vAlign w:val="center"/>
          </w:tcPr>
          <w:p>
            <w:pPr>
              <w:jc w:val="center"/>
              <w:rPr>
                <w:rFonts w:ascii="仿宋_GB2312" w:hAnsi="仿宋_GB2312" w:eastAsia="仿宋_GB2312" w:cs="仿宋_GB2312"/>
                <w:szCs w:val="21"/>
              </w:rPr>
            </w:pPr>
          </w:p>
        </w:tc>
        <w:tc>
          <w:tcPr>
            <w:tcW w:w="1427" w:type="dxa"/>
            <w:noWrap w:val="0"/>
            <w:vAlign w:val="center"/>
          </w:tcPr>
          <w:p>
            <w:pPr>
              <w:jc w:val="center"/>
              <w:rPr>
                <w:rFonts w:ascii="仿宋_GB2312" w:hAnsi="仿宋_GB2312" w:eastAsia="仿宋_GB2312" w:cs="仿宋_GB2312"/>
                <w:szCs w:val="21"/>
              </w:rPr>
            </w:pPr>
          </w:p>
        </w:tc>
        <w:tc>
          <w:tcPr>
            <w:tcW w:w="1344" w:type="dxa"/>
            <w:noWrap w:val="0"/>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53" w:type="dxa"/>
            <w:noWrap w:val="0"/>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582" w:type="dxa"/>
            <w:noWrap w:val="0"/>
            <w:vAlign w:val="center"/>
          </w:tcPr>
          <w:p>
            <w:pPr>
              <w:jc w:val="center"/>
              <w:rPr>
                <w:rFonts w:ascii="仿宋_GB2312" w:hAnsi="仿宋_GB2312" w:eastAsia="仿宋_GB2312" w:cs="仿宋_GB2312"/>
                <w:szCs w:val="21"/>
              </w:rPr>
            </w:pPr>
          </w:p>
        </w:tc>
        <w:tc>
          <w:tcPr>
            <w:tcW w:w="1587" w:type="dxa"/>
            <w:noWrap w:val="0"/>
            <w:vAlign w:val="center"/>
          </w:tcPr>
          <w:p>
            <w:pPr>
              <w:jc w:val="center"/>
              <w:rPr>
                <w:rFonts w:ascii="仿宋_GB2312" w:hAnsi="仿宋_GB2312" w:eastAsia="仿宋_GB2312" w:cs="仿宋_GB2312"/>
                <w:szCs w:val="21"/>
              </w:rPr>
            </w:pPr>
          </w:p>
        </w:tc>
        <w:tc>
          <w:tcPr>
            <w:tcW w:w="1427" w:type="dxa"/>
            <w:noWrap w:val="0"/>
            <w:vAlign w:val="center"/>
          </w:tcPr>
          <w:p>
            <w:pPr>
              <w:jc w:val="center"/>
              <w:rPr>
                <w:rFonts w:ascii="仿宋_GB2312" w:hAnsi="仿宋_GB2312" w:eastAsia="仿宋_GB2312" w:cs="仿宋_GB2312"/>
                <w:szCs w:val="21"/>
              </w:rPr>
            </w:pPr>
          </w:p>
        </w:tc>
        <w:tc>
          <w:tcPr>
            <w:tcW w:w="1427" w:type="dxa"/>
            <w:noWrap w:val="0"/>
            <w:vAlign w:val="center"/>
          </w:tcPr>
          <w:p>
            <w:pPr>
              <w:jc w:val="center"/>
              <w:rPr>
                <w:rFonts w:ascii="仿宋_GB2312" w:hAnsi="仿宋_GB2312" w:eastAsia="仿宋_GB2312" w:cs="仿宋_GB2312"/>
                <w:szCs w:val="21"/>
              </w:rPr>
            </w:pPr>
          </w:p>
        </w:tc>
        <w:tc>
          <w:tcPr>
            <w:tcW w:w="1344" w:type="dxa"/>
            <w:noWrap w:val="0"/>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320" w:type="dxa"/>
            <w:gridSpan w:val="6"/>
            <w:noWrap w:val="0"/>
            <w:vAlign w:val="center"/>
          </w:tcPr>
          <w:p>
            <w:pPr>
              <w:ind w:firstLine="420" w:firstLineChars="200"/>
              <w:jc w:val="left"/>
              <w:rPr>
                <w:rFonts w:ascii="仿宋_GB2312" w:hAnsi="仿宋_GB2312" w:eastAsia="仿宋_GB2312" w:cs="仿宋_GB2312"/>
                <w:szCs w:val="21"/>
              </w:rPr>
            </w:pPr>
            <w:r>
              <w:rPr>
                <w:rFonts w:hint="eastAsia" w:ascii="仿宋_GB2312" w:hAnsi="仿宋_GB2312" w:eastAsia="仿宋_GB2312" w:cs="仿宋_GB2312"/>
                <w:b/>
                <w:szCs w:val="21"/>
                <w:lang w:val="zh-CN"/>
              </w:rPr>
              <w:t>响应文件中所提供的以上产品为本企业生产的产品，</w:t>
            </w:r>
            <w:r>
              <w:rPr>
                <w:rFonts w:hint="eastAsia" w:ascii="仿宋_GB2312" w:hAnsi="仿宋_GB2312" w:eastAsia="仿宋_GB2312" w:cs="仿宋_GB2312"/>
                <w:b/>
                <w:szCs w:val="21"/>
              </w:rPr>
              <w:t>如有虚假</w:t>
            </w:r>
            <w:r>
              <w:rPr>
                <w:rFonts w:hint="eastAsia" w:ascii="仿宋_GB2312" w:hAnsi="仿宋_GB2312" w:eastAsia="仿宋_GB2312" w:cs="仿宋_GB2312"/>
                <w:b/>
                <w:szCs w:val="21"/>
                <w:lang w:val="zh-CN"/>
              </w:rPr>
              <w:t>，我公司承担由此产生的一切后果</w:t>
            </w:r>
            <w:r>
              <w:rPr>
                <w:rFonts w:hint="eastAsia" w:ascii="仿宋_GB2312" w:hAnsi="仿宋_GB2312" w:eastAsia="仿宋_GB2312" w:cs="仿宋_GB2312"/>
                <w:szCs w:val="21"/>
                <w:lang w:val="zh-CN"/>
              </w:rPr>
              <w:t>。</w:t>
            </w:r>
          </w:p>
        </w:tc>
      </w:tr>
    </w:tbl>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注：供应商所响应产品为其它企业生产时须提供此声明函，仅作为价格扣除条件。</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r>
        <w:rPr>
          <w:rFonts w:hint="eastAsia" w:ascii="仿宋_GB2312" w:hAnsi="仿宋_GB2312" w:eastAsia="仿宋_GB2312" w:cs="仿宋_GB2312"/>
          <w:szCs w:val="21"/>
        </w:rPr>
        <w:t>制造商名称（加盖单位公章）：</w:t>
      </w:r>
      <w:r>
        <w:rPr>
          <w:rFonts w:hint="eastAsia" w:ascii="仿宋_GB2312" w:hAnsi="仿宋_GB2312" w:eastAsia="仿宋_GB2312" w:cs="仿宋_GB2312"/>
          <w:szCs w:val="21"/>
          <w:u w:val="single"/>
        </w:rPr>
        <w:t xml:space="preserve">               </w:t>
      </w: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r>
        <w:rPr>
          <w:rFonts w:hint="eastAsia" w:ascii="仿宋_GB2312" w:hAnsi="仿宋_GB2312" w:eastAsia="仿宋_GB2312" w:cs="仿宋_GB2312"/>
          <w:szCs w:val="21"/>
        </w:rPr>
        <w:t>日 期：</w:t>
      </w:r>
      <w:r>
        <w:rPr>
          <w:rFonts w:hint="eastAsia" w:ascii="仿宋_GB2312" w:hAnsi="仿宋_GB2312" w:eastAsia="仿宋_GB2312" w:cs="仿宋_GB2312"/>
          <w:szCs w:val="21"/>
          <w:u w:val="single"/>
        </w:rPr>
        <w:t xml:space="preserve">               </w:t>
      </w:r>
    </w:p>
    <w:p>
      <w:pPr>
        <w:pStyle w:val="4"/>
        <w:adjustRightInd w:val="0"/>
        <w:snapToGrid w:val="0"/>
        <w:spacing w:before="0" w:after="0" w:line="240" w:lineRule="auto"/>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格式1</w:t>
      </w:r>
      <w:r>
        <w:rPr>
          <w:rFonts w:hint="eastAsia" w:ascii="仿宋_GB2312" w:hAnsi="仿宋_GB2312" w:eastAsia="仿宋_GB2312" w:cs="仿宋_GB2312"/>
          <w:sz w:val="28"/>
          <w:szCs w:val="28"/>
          <w:lang w:val="en-US" w:eastAsia="zh-CN"/>
        </w:rPr>
        <w:t>9</w:t>
      </w:r>
    </w:p>
    <w:p>
      <w:pPr>
        <w:adjustRightInd w:val="0"/>
        <w:snapToGrid w:val="0"/>
        <w:spacing w:before="319" w:beforeLines="100" w:after="319" w:afterLines="100" w:line="360" w:lineRule="auto"/>
        <w:ind w:right="105" w:rightChars="5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残疾人福利性单位声明函</w:t>
      </w:r>
      <w:bookmarkEnd w:id="128"/>
      <w:bookmarkEnd w:id="129"/>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本单位郑重声明，根据《财政部 民政部 中国残疾人联合会关于促进残疾人就业政府采购政策的通知》（财库〔2017〕141 号）的规定，本单位为符合条件的残疾人福利性单位，且本单位参加</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单位的</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本单位对上述声明的真实性负责。如有虚假，将依法承担相应责任。</w:t>
      </w:r>
    </w:p>
    <w:tbl>
      <w:tblPr>
        <w:tblStyle w:val="19"/>
        <w:tblW w:w="8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82"/>
        <w:gridCol w:w="1587"/>
        <w:gridCol w:w="1427"/>
        <w:gridCol w:w="1427"/>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56" w:hRule="atLeast"/>
        </w:trPr>
        <w:tc>
          <w:tcPr>
            <w:tcW w:w="953" w:type="dxa"/>
            <w:noWrap w:val="0"/>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1582" w:type="dxa"/>
            <w:noWrap w:val="0"/>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品  名</w:t>
            </w:r>
          </w:p>
        </w:tc>
        <w:tc>
          <w:tcPr>
            <w:tcW w:w="1587" w:type="dxa"/>
            <w:noWrap w:val="0"/>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数量</w:t>
            </w:r>
          </w:p>
        </w:tc>
        <w:tc>
          <w:tcPr>
            <w:tcW w:w="1427" w:type="dxa"/>
            <w:noWrap w:val="0"/>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规格</w:t>
            </w:r>
          </w:p>
          <w:p>
            <w:pPr>
              <w:jc w:val="center"/>
              <w:rPr>
                <w:rFonts w:ascii="仿宋_GB2312" w:hAnsi="仿宋_GB2312" w:eastAsia="仿宋_GB2312" w:cs="仿宋_GB2312"/>
                <w:szCs w:val="21"/>
              </w:rPr>
            </w:pPr>
            <w:r>
              <w:rPr>
                <w:rFonts w:hint="eastAsia" w:ascii="仿宋_GB2312" w:hAnsi="仿宋_GB2312" w:eastAsia="仿宋_GB2312" w:cs="仿宋_GB2312"/>
                <w:szCs w:val="21"/>
              </w:rPr>
              <w:t>型号</w:t>
            </w:r>
          </w:p>
        </w:tc>
        <w:tc>
          <w:tcPr>
            <w:tcW w:w="1427" w:type="dxa"/>
            <w:noWrap w:val="0"/>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生产</w:t>
            </w:r>
          </w:p>
          <w:p>
            <w:pPr>
              <w:jc w:val="center"/>
              <w:rPr>
                <w:rFonts w:ascii="仿宋_GB2312" w:hAnsi="仿宋_GB2312" w:eastAsia="仿宋_GB2312" w:cs="仿宋_GB2312"/>
                <w:szCs w:val="21"/>
              </w:rPr>
            </w:pPr>
            <w:r>
              <w:rPr>
                <w:rFonts w:hint="eastAsia" w:ascii="仿宋_GB2312" w:hAnsi="仿宋_GB2312" w:eastAsia="仿宋_GB2312" w:cs="仿宋_GB2312"/>
                <w:szCs w:val="21"/>
              </w:rPr>
              <w:t>厂家</w:t>
            </w:r>
          </w:p>
        </w:tc>
        <w:tc>
          <w:tcPr>
            <w:tcW w:w="1344" w:type="dxa"/>
            <w:noWrap w:val="0"/>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96" w:hRule="atLeast"/>
        </w:trPr>
        <w:tc>
          <w:tcPr>
            <w:tcW w:w="953" w:type="dxa"/>
            <w:noWrap w:val="0"/>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1582" w:type="dxa"/>
            <w:noWrap w:val="0"/>
            <w:vAlign w:val="center"/>
          </w:tcPr>
          <w:p>
            <w:pPr>
              <w:jc w:val="center"/>
              <w:rPr>
                <w:rFonts w:ascii="仿宋_GB2312" w:hAnsi="仿宋_GB2312" w:eastAsia="仿宋_GB2312" w:cs="仿宋_GB2312"/>
                <w:szCs w:val="21"/>
              </w:rPr>
            </w:pPr>
          </w:p>
        </w:tc>
        <w:tc>
          <w:tcPr>
            <w:tcW w:w="1587" w:type="dxa"/>
            <w:noWrap w:val="0"/>
            <w:vAlign w:val="center"/>
          </w:tcPr>
          <w:p>
            <w:pPr>
              <w:jc w:val="center"/>
              <w:rPr>
                <w:rFonts w:ascii="仿宋_GB2312" w:hAnsi="仿宋_GB2312" w:eastAsia="仿宋_GB2312" w:cs="仿宋_GB2312"/>
                <w:szCs w:val="21"/>
              </w:rPr>
            </w:pPr>
          </w:p>
        </w:tc>
        <w:tc>
          <w:tcPr>
            <w:tcW w:w="1427" w:type="dxa"/>
            <w:noWrap w:val="0"/>
            <w:vAlign w:val="center"/>
          </w:tcPr>
          <w:p>
            <w:pPr>
              <w:jc w:val="center"/>
              <w:rPr>
                <w:rFonts w:ascii="仿宋_GB2312" w:hAnsi="仿宋_GB2312" w:eastAsia="仿宋_GB2312" w:cs="仿宋_GB2312"/>
                <w:szCs w:val="21"/>
              </w:rPr>
            </w:pPr>
          </w:p>
        </w:tc>
        <w:tc>
          <w:tcPr>
            <w:tcW w:w="1427" w:type="dxa"/>
            <w:noWrap w:val="0"/>
            <w:vAlign w:val="center"/>
          </w:tcPr>
          <w:p>
            <w:pPr>
              <w:jc w:val="center"/>
              <w:rPr>
                <w:rFonts w:ascii="仿宋_GB2312" w:hAnsi="仿宋_GB2312" w:eastAsia="仿宋_GB2312" w:cs="仿宋_GB2312"/>
                <w:szCs w:val="21"/>
              </w:rPr>
            </w:pPr>
          </w:p>
        </w:tc>
        <w:tc>
          <w:tcPr>
            <w:tcW w:w="1344" w:type="dxa"/>
            <w:noWrap w:val="0"/>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96" w:hRule="atLeast"/>
        </w:trPr>
        <w:tc>
          <w:tcPr>
            <w:tcW w:w="953" w:type="dxa"/>
            <w:noWrap w:val="0"/>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582" w:type="dxa"/>
            <w:noWrap w:val="0"/>
            <w:vAlign w:val="center"/>
          </w:tcPr>
          <w:p>
            <w:pPr>
              <w:jc w:val="center"/>
              <w:rPr>
                <w:rFonts w:ascii="仿宋_GB2312" w:hAnsi="仿宋_GB2312" w:eastAsia="仿宋_GB2312" w:cs="仿宋_GB2312"/>
                <w:szCs w:val="21"/>
              </w:rPr>
            </w:pPr>
          </w:p>
        </w:tc>
        <w:tc>
          <w:tcPr>
            <w:tcW w:w="1587" w:type="dxa"/>
            <w:noWrap w:val="0"/>
            <w:vAlign w:val="center"/>
          </w:tcPr>
          <w:p>
            <w:pPr>
              <w:jc w:val="center"/>
              <w:rPr>
                <w:rFonts w:ascii="仿宋_GB2312" w:hAnsi="仿宋_GB2312" w:eastAsia="仿宋_GB2312" w:cs="仿宋_GB2312"/>
                <w:szCs w:val="21"/>
              </w:rPr>
            </w:pPr>
          </w:p>
        </w:tc>
        <w:tc>
          <w:tcPr>
            <w:tcW w:w="1427" w:type="dxa"/>
            <w:noWrap w:val="0"/>
            <w:vAlign w:val="center"/>
          </w:tcPr>
          <w:p>
            <w:pPr>
              <w:jc w:val="center"/>
              <w:rPr>
                <w:rFonts w:ascii="仿宋_GB2312" w:hAnsi="仿宋_GB2312" w:eastAsia="仿宋_GB2312" w:cs="仿宋_GB2312"/>
                <w:szCs w:val="21"/>
              </w:rPr>
            </w:pPr>
          </w:p>
        </w:tc>
        <w:tc>
          <w:tcPr>
            <w:tcW w:w="1427" w:type="dxa"/>
            <w:noWrap w:val="0"/>
            <w:vAlign w:val="center"/>
          </w:tcPr>
          <w:p>
            <w:pPr>
              <w:jc w:val="center"/>
              <w:rPr>
                <w:rFonts w:ascii="仿宋_GB2312" w:hAnsi="仿宋_GB2312" w:eastAsia="仿宋_GB2312" w:cs="仿宋_GB2312"/>
                <w:szCs w:val="21"/>
              </w:rPr>
            </w:pPr>
          </w:p>
        </w:tc>
        <w:tc>
          <w:tcPr>
            <w:tcW w:w="1344" w:type="dxa"/>
            <w:noWrap w:val="0"/>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96" w:hRule="atLeast"/>
        </w:trPr>
        <w:tc>
          <w:tcPr>
            <w:tcW w:w="953" w:type="dxa"/>
            <w:noWrap w:val="0"/>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582" w:type="dxa"/>
            <w:noWrap w:val="0"/>
            <w:vAlign w:val="center"/>
          </w:tcPr>
          <w:p>
            <w:pPr>
              <w:jc w:val="center"/>
              <w:rPr>
                <w:rFonts w:ascii="仿宋_GB2312" w:hAnsi="仿宋_GB2312" w:eastAsia="仿宋_GB2312" w:cs="仿宋_GB2312"/>
                <w:szCs w:val="21"/>
              </w:rPr>
            </w:pPr>
          </w:p>
        </w:tc>
        <w:tc>
          <w:tcPr>
            <w:tcW w:w="1587" w:type="dxa"/>
            <w:noWrap w:val="0"/>
            <w:vAlign w:val="center"/>
          </w:tcPr>
          <w:p>
            <w:pPr>
              <w:jc w:val="center"/>
              <w:rPr>
                <w:rFonts w:ascii="仿宋_GB2312" w:hAnsi="仿宋_GB2312" w:eastAsia="仿宋_GB2312" w:cs="仿宋_GB2312"/>
                <w:szCs w:val="21"/>
              </w:rPr>
            </w:pPr>
          </w:p>
        </w:tc>
        <w:tc>
          <w:tcPr>
            <w:tcW w:w="1427" w:type="dxa"/>
            <w:noWrap w:val="0"/>
            <w:vAlign w:val="center"/>
          </w:tcPr>
          <w:p>
            <w:pPr>
              <w:jc w:val="center"/>
              <w:rPr>
                <w:rFonts w:ascii="仿宋_GB2312" w:hAnsi="仿宋_GB2312" w:eastAsia="仿宋_GB2312" w:cs="仿宋_GB2312"/>
                <w:szCs w:val="21"/>
              </w:rPr>
            </w:pPr>
          </w:p>
        </w:tc>
        <w:tc>
          <w:tcPr>
            <w:tcW w:w="1427" w:type="dxa"/>
            <w:noWrap w:val="0"/>
            <w:vAlign w:val="center"/>
          </w:tcPr>
          <w:p>
            <w:pPr>
              <w:jc w:val="center"/>
              <w:rPr>
                <w:rFonts w:ascii="仿宋_GB2312" w:hAnsi="仿宋_GB2312" w:eastAsia="仿宋_GB2312" w:cs="仿宋_GB2312"/>
                <w:szCs w:val="21"/>
              </w:rPr>
            </w:pPr>
          </w:p>
        </w:tc>
        <w:tc>
          <w:tcPr>
            <w:tcW w:w="1344" w:type="dxa"/>
            <w:noWrap w:val="0"/>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96" w:hRule="atLeast"/>
        </w:trPr>
        <w:tc>
          <w:tcPr>
            <w:tcW w:w="953" w:type="dxa"/>
            <w:noWrap w:val="0"/>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582" w:type="dxa"/>
            <w:noWrap w:val="0"/>
            <w:vAlign w:val="center"/>
          </w:tcPr>
          <w:p>
            <w:pPr>
              <w:jc w:val="center"/>
              <w:rPr>
                <w:rFonts w:ascii="仿宋_GB2312" w:hAnsi="仿宋_GB2312" w:eastAsia="仿宋_GB2312" w:cs="仿宋_GB2312"/>
                <w:szCs w:val="21"/>
              </w:rPr>
            </w:pPr>
          </w:p>
        </w:tc>
        <w:tc>
          <w:tcPr>
            <w:tcW w:w="1587" w:type="dxa"/>
            <w:noWrap w:val="0"/>
            <w:vAlign w:val="center"/>
          </w:tcPr>
          <w:p>
            <w:pPr>
              <w:jc w:val="center"/>
              <w:rPr>
                <w:rFonts w:ascii="仿宋_GB2312" w:hAnsi="仿宋_GB2312" w:eastAsia="仿宋_GB2312" w:cs="仿宋_GB2312"/>
                <w:szCs w:val="21"/>
              </w:rPr>
            </w:pPr>
          </w:p>
        </w:tc>
        <w:tc>
          <w:tcPr>
            <w:tcW w:w="1427" w:type="dxa"/>
            <w:noWrap w:val="0"/>
            <w:vAlign w:val="center"/>
          </w:tcPr>
          <w:p>
            <w:pPr>
              <w:jc w:val="center"/>
              <w:rPr>
                <w:rFonts w:ascii="仿宋_GB2312" w:hAnsi="仿宋_GB2312" w:eastAsia="仿宋_GB2312" w:cs="仿宋_GB2312"/>
                <w:szCs w:val="21"/>
              </w:rPr>
            </w:pPr>
          </w:p>
        </w:tc>
        <w:tc>
          <w:tcPr>
            <w:tcW w:w="1427" w:type="dxa"/>
            <w:noWrap w:val="0"/>
            <w:vAlign w:val="center"/>
          </w:tcPr>
          <w:p>
            <w:pPr>
              <w:jc w:val="center"/>
              <w:rPr>
                <w:rFonts w:ascii="仿宋_GB2312" w:hAnsi="仿宋_GB2312" w:eastAsia="仿宋_GB2312" w:cs="仿宋_GB2312"/>
                <w:szCs w:val="21"/>
              </w:rPr>
            </w:pPr>
          </w:p>
        </w:tc>
        <w:tc>
          <w:tcPr>
            <w:tcW w:w="1344" w:type="dxa"/>
            <w:noWrap w:val="0"/>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58" w:hRule="atLeast"/>
        </w:trPr>
        <w:tc>
          <w:tcPr>
            <w:tcW w:w="8320" w:type="dxa"/>
            <w:gridSpan w:val="6"/>
            <w:noWrap w:val="0"/>
            <w:vAlign w:val="center"/>
          </w:tcPr>
          <w:p>
            <w:pPr>
              <w:ind w:firstLine="420" w:firstLineChars="200"/>
              <w:jc w:val="left"/>
              <w:rPr>
                <w:rFonts w:ascii="仿宋_GB2312" w:hAnsi="仿宋_GB2312" w:eastAsia="仿宋_GB2312" w:cs="仿宋_GB2312"/>
                <w:szCs w:val="21"/>
              </w:rPr>
            </w:pPr>
            <w:r>
              <w:rPr>
                <w:rFonts w:hint="eastAsia" w:ascii="仿宋_GB2312" w:hAnsi="仿宋_GB2312" w:eastAsia="仿宋_GB2312" w:cs="仿宋_GB2312"/>
                <w:b/>
                <w:szCs w:val="21"/>
              </w:rPr>
              <w:t xml:space="preserve"> </w:t>
            </w:r>
            <w:r>
              <w:rPr>
                <w:rFonts w:hint="eastAsia" w:ascii="仿宋_GB2312" w:hAnsi="仿宋_GB2312" w:eastAsia="仿宋_GB2312" w:cs="仿宋_GB2312"/>
                <w:b/>
                <w:szCs w:val="21"/>
                <w:lang w:val="zh-CN"/>
              </w:rPr>
              <w:t>投标文件中所提供投标的以上伴随产品为我单位生产的产品，</w:t>
            </w:r>
            <w:r>
              <w:rPr>
                <w:rFonts w:hint="eastAsia" w:ascii="仿宋_GB2312" w:hAnsi="仿宋_GB2312" w:eastAsia="仿宋_GB2312" w:cs="仿宋_GB2312"/>
                <w:b/>
                <w:szCs w:val="21"/>
              </w:rPr>
              <w:t>如有虚假</w:t>
            </w:r>
            <w:r>
              <w:rPr>
                <w:rFonts w:hint="eastAsia" w:ascii="仿宋_GB2312" w:hAnsi="仿宋_GB2312" w:eastAsia="仿宋_GB2312" w:cs="仿宋_GB2312"/>
                <w:b/>
                <w:szCs w:val="21"/>
                <w:lang w:val="zh-CN"/>
              </w:rPr>
              <w:t>，我单位承担由此产生的一切后果</w:t>
            </w:r>
            <w:r>
              <w:rPr>
                <w:rFonts w:hint="eastAsia" w:ascii="仿宋_GB2312" w:hAnsi="仿宋_GB2312" w:eastAsia="仿宋_GB2312" w:cs="仿宋_GB2312"/>
                <w:szCs w:val="21"/>
                <w:lang w:val="zh-CN"/>
              </w:rPr>
              <w:t>。</w:t>
            </w:r>
          </w:p>
        </w:tc>
      </w:tr>
    </w:tbl>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注：1、供应商为非残疾人福利性单位的，无需填写此声明函。</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 xml:space="preserve">    2、仅为本项目提供服务，未提供服务所伴随产品的，此表格可不填写。</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 xml:space="preserve">    3、如为本项目提供本单位伴随产品的，请填写此表格。</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 xml:space="preserve">    4、如为本项目提供的伴随产品是其他单位生产的，无需填写此表格，但需生产单位按此格式出具此声明。</w:t>
      </w: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480" w:lineRule="auto"/>
        <w:ind w:right="105" w:rightChars="50"/>
        <w:jc w:val="left"/>
        <w:rPr>
          <w:rFonts w:ascii="仿宋_GB2312" w:hAnsi="仿宋_GB2312" w:eastAsia="仿宋_GB2312" w:cs="仿宋_GB2312"/>
          <w:szCs w:val="21"/>
        </w:rPr>
      </w:pPr>
      <w:r>
        <w:rPr>
          <w:rFonts w:hint="eastAsia" w:ascii="仿宋_GB2312" w:hAnsi="仿宋_GB2312" w:eastAsia="仿宋_GB2312" w:cs="仿宋_GB2312"/>
          <w:szCs w:val="21"/>
        </w:rPr>
        <w:t>投标人名称（加盖单位公章）：</w:t>
      </w:r>
      <w:r>
        <w:rPr>
          <w:rFonts w:hint="eastAsia" w:ascii="仿宋_GB2312" w:hAnsi="仿宋_GB2312" w:eastAsia="仿宋_GB2312" w:cs="仿宋_GB2312"/>
          <w:szCs w:val="21"/>
          <w:u w:val="single"/>
        </w:rPr>
        <w:t xml:space="preserve">              </w:t>
      </w:r>
    </w:p>
    <w:p>
      <w:pPr>
        <w:adjustRightInd w:val="0"/>
        <w:snapToGrid w:val="0"/>
        <w:spacing w:line="480" w:lineRule="auto"/>
        <w:ind w:right="105" w:rightChars="50"/>
        <w:jc w:val="left"/>
        <w:rPr>
          <w:rFonts w:ascii="仿宋_GB2312" w:hAnsi="仿宋_GB2312" w:eastAsia="仿宋_GB2312" w:cs="仿宋_GB2312"/>
          <w:b/>
          <w:sz w:val="28"/>
          <w:szCs w:val="28"/>
        </w:rPr>
      </w:pPr>
      <w:r>
        <w:rPr>
          <w:rFonts w:hint="eastAsia" w:ascii="仿宋_GB2312" w:hAnsi="仿宋_GB2312" w:eastAsia="仿宋_GB2312" w:cs="仿宋_GB2312"/>
          <w:szCs w:val="21"/>
        </w:rPr>
        <w:t>日 期：</w:t>
      </w:r>
      <w:r>
        <w:rPr>
          <w:rFonts w:hint="eastAsia" w:ascii="仿宋_GB2312" w:hAnsi="仿宋_GB2312" w:eastAsia="仿宋_GB2312" w:cs="仿宋_GB2312"/>
          <w:szCs w:val="21"/>
          <w:u w:val="single"/>
        </w:rPr>
        <w:t xml:space="preserve">              </w:t>
      </w:r>
    </w:p>
    <w:p>
      <w:pPr>
        <w:adjustRightInd w:val="0"/>
        <w:snapToGrid w:val="0"/>
        <w:spacing w:line="360" w:lineRule="auto"/>
        <w:ind w:right="105" w:rightChars="50"/>
        <w:jc w:val="left"/>
        <w:rPr>
          <w:rFonts w:ascii="仿宋_GB2312" w:hAnsi="仿宋_GB2312" w:eastAsia="仿宋_GB2312" w:cs="仿宋_GB2312"/>
          <w:szCs w:val="21"/>
          <w:u w:val="single"/>
        </w:rPr>
      </w:pPr>
    </w:p>
    <w:p>
      <w:pPr>
        <w:widowControl/>
        <w:jc w:val="left"/>
        <w:rPr>
          <w:rFonts w:ascii="仿宋_GB2312" w:hAnsi="仿宋_GB2312" w:eastAsia="仿宋_GB2312" w:cs="仿宋_GB2312"/>
          <w:szCs w:val="21"/>
          <w:u w:val="single"/>
        </w:rPr>
      </w:pPr>
    </w:p>
    <w:p>
      <w:pPr>
        <w:adjustRightInd w:val="0"/>
        <w:snapToGrid w:val="0"/>
        <w:spacing w:line="360" w:lineRule="auto"/>
        <w:ind w:right="105" w:rightChars="50"/>
        <w:jc w:val="left"/>
        <w:rPr>
          <w:rFonts w:ascii="仿宋_GB2312" w:hAnsi="仿宋_GB2312" w:eastAsia="仿宋_GB2312" w:cs="仿宋_GB2312"/>
          <w:szCs w:val="21"/>
          <w:u w:val="single"/>
        </w:rPr>
      </w:pPr>
    </w:p>
    <w:p>
      <w:pPr>
        <w:widowControl/>
        <w:jc w:val="left"/>
        <w:rPr>
          <w:rFonts w:ascii="仿宋_GB2312" w:hAnsi="仿宋_GB2312" w:eastAsia="仿宋_GB2312" w:cs="仿宋_GB2312"/>
          <w:b/>
          <w:kern w:val="44"/>
          <w:sz w:val="44"/>
        </w:rPr>
      </w:pPr>
      <w:bookmarkStart w:id="131" w:name="_Toc4498_WPSOffice_Level1"/>
      <w:r>
        <w:rPr>
          <w:rFonts w:hint="eastAsia" w:ascii="仿宋_GB2312" w:hAnsi="仿宋_GB2312" w:eastAsia="仿宋_GB2312" w:cs="仿宋_GB2312"/>
        </w:rPr>
        <w:br w:type="page"/>
      </w:r>
    </w:p>
    <w:p>
      <w:pPr>
        <w:pStyle w:val="3"/>
        <w:snapToGrid w:val="0"/>
        <w:spacing w:before="319" w:beforeLines="100" w:after="319" w:afterLines="100" w:line="360" w:lineRule="auto"/>
        <w:rPr>
          <w:rFonts w:ascii="仿宋_GB2312" w:hAnsi="仿宋_GB2312" w:eastAsia="仿宋_GB2312" w:cs="仿宋_GB2312"/>
        </w:rPr>
      </w:pPr>
      <w:bookmarkStart w:id="132" w:name="_Toc17590"/>
      <w:r>
        <w:rPr>
          <w:rFonts w:hint="eastAsia" w:ascii="仿宋_GB2312" w:hAnsi="仿宋_GB2312" w:eastAsia="仿宋_GB2312" w:cs="仿宋_GB2312"/>
        </w:rPr>
        <w:t>第三章 货物需求</w:t>
      </w:r>
      <w:bookmarkEnd w:id="131"/>
      <w:bookmarkEnd w:id="132"/>
    </w:p>
    <w:p>
      <w:pPr>
        <w:spacing w:line="360" w:lineRule="auto"/>
        <w:ind w:firstLine="420" w:firstLineChars="200"/>
        <w:outlineLvl w:val="0"/>
        <w:rPr>
          <w:rFonts w:hint="eastAsia" w:ascii="宋体" w:hAnsi="宋体"/>
          <w:b/>
          <w:bCs/>
          <w:color w:val="000000"/>
          <w:sz w:val="24"/>
        </w:rPr>
      </w:pPr>
      <w:r>
        <w:rPr>
          <w:rFonts w:hint="eastAsia" w:ascii="仿宋_GB2312" w:hAnsi="仿宋_GB2312" w:eastAsia="仿宋_GB2312" w:cs="仿宋_GB2312"/>
          <w:b/>
          <w:bCs/>
          <w:szCs w:val="21"/>
        </w:rPr>
        <w:t xml:space="preserve">    </w:t>
      </w:r>
      <w:bookmarkStart w:id="133" w:name="_Toc2821_WPSOffice_Level1"/>
      <w:r>
        <w:rPr>
          <w:rFonts w:hint="eastAsia" w:ascii="宋体" w:hAnsi="宋体" w:eastAsia="宋体"/>
          <w:b/>
          <w:bCs/>
          <w:color w:val="000000"/>
          <w:sz w:val="24"/>
          <w:lang w:eastAsia="zh-CN"/>
        </w:rPr>
        <w:t>一、食材</w:t>
      </w:r>
      <w:r>
        <w:rPr>
          <w:rFonts w:hint="eastAsia" w:ascii="宋体" w:hAnsi="宋体"/>
          <w:b/>
          <w:bCs/>
          <w:color w:val="000000"/>
          <w:sz w:val="24"/>
        </w:rPr>
        <w:t>要求</w:t>
      </w:r>
    </w:p>
    <w:tbl>
      <w:tblPr>
        <w:tblStyle w:val="19"/>
        <w:tblpPr w:leftFromText="180" w:rightFromText="180" w:vertAnchor="text" w:horzAnchor="page" w:tblpX="866" w:tblpY="532"/>
        <w:tblOverlap w:val="never"/>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6"/>
        <w:gridCol w:w="6240"/>
        <w:gridCol w:w="852"/>
        <w:gridCol w:w="948"/>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666" w:type="dxa"/>
            <w:noWrap w:val="0"/>
            <w:vAlign w:val="center"/>
          </w:tcPr>
          <w:p>
            <w:pPr>
              <w:pStyle w:val="54"/>
              <w:jc w:val="both"/>
              <w:rPr>
                <w:rFonts w:hint="eastAsia" w:ascii="宋体" w:hAnsi="宋体" w:eastAsia="宋体" w:cs="宋体"/>
                <w:sz w:val="24"/>
                <w:szCs w:val="24"/>
              </w:rPr>
            </w:pPr>
            <w:r>
              <w:rPr>
                <w:rFonts w:hint="eastAsia" w:ascii="宋体" w:hAnsi="宋体" w:eastAsia="宋体" w:cs="宋体"/>
                <w:sz w:val="24"/>
                <w:szCs w:val="24"/>
              </w:rPr>
              <w:t>采购产品</w:t>
            </w:r>
          </w:p>
        </w:tc>
        <w:tc>
          <w:tcPr>
            <w:tcW w:w="6240" w:type="dxa"/>
            <w:noWrap w:val="0"/>
            <w:vAlign w:val="center"/>
          </w:tcPr>
          <w:p>
            <w:pPr>
              <w:pStyle w:val="54"/>
              <w:ind w:left="1070"/>
              <w:jc w:val="center"/>
              <w:rPr>
                <w:rFonts w:hint="eastAsia" w:ascii="宋体" w:hAnsi="宋体" w:eastAsia="宋体" w:cs="宋体"/>
                <w:sz w:val="24"/>
                <w:szCs w:val="24"/>
              </w:rPr>
            </w:pPr>
            <w:r>
              <w:rPr>
                <w:rFonts w:hint="eastAsia" w:ascii="宋体" w:hAnsi="宋体" w:eastAsia="宋体" w:cs="宋体"/>
                <w:sz w:val="24"/>
                <w:szCs w:val="24"/>
              </w:rPr>
              <w:t>参数指标及要求</w:t>
            </w:r>
          </w:p>
        </w:tc>
        <w:tc>
          <w:tcPr>
            <w:tcW w:w="852" w:type="dxa"/>
            <w:noWrap w:val="0"/>
            <w:vAlign w:val="center"/>
          </w:tcPr>
          <w:p>
            <w:pPr>
              <w:pStyle w:val="54"/>
              <w:ind w:left="317"/>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规格</w:t>
            </w:r>
          </w:p>
        </w:tc>
        <w:tc>
          <w:tcPr>
            <w:tcW w:w="948" w:type="dxa"/>
            <w:noWrap w:val="0"/>
            <w:vAlign w:val="center"/>
          </w:tcPr>
          <w:p>
            <w:pPr>
              <w:pStyle w:val="54"/>
              <w:jc w:val="both"/>
              <w:rPr>
                <w:rFonts w:hint="eastAsia" w:ascii="宋体" w:hAnsi="宋体" w:eastAsia="宋体" w:cs="宋体"/>
                <w:sz w:val="24"/>
                <w:szCs w:val="24"/>
              </w:rPr>
            </w:pPr>
            <w:r>
              <w:rPr>
                <w:rFonts w:hint="eastAsia" w:ascii="宋体" w:hAnsi="宋体" w:eastAsia="宋体" w:cs="宋体"/>
                <w:sz w:val="24"/>
                <w:szCs w:val="24"/>
              </w:rPr>
              <w:t>采购量</w:t>
            </w:r>
          </w:p>
        </w:tc>
        <w:tc>
          <w:tcPr>
            <w:tcW w:w="900" w:type="dxa"/>
            <w:noWrap w:val="0"/>
            <w:vAlign w:val="center"/>
          </w:tcPr>
          <w:p>
            <w:pPr>
              <w:pStyle w:val="54"/>
              <w:ind w:left="106" w:leftChars="0" w:right="-29" w:rightChars="0"/>
              <w:jc w:val="center"/>
              <w:rPr>
                <w:rFonts w:hint="eastAsia" w:ascii="宋体" w:hAnsi="宋体" w:eastAsia="宋体" w:cs="宋体"/>
                <w:sz w:val="24"/>
                <w:szCs w:val="24"/>
              </w:rPr>
            </w:pPr>
            <w:r>
              <w:rPr>
                <w:rFonts w:hint="eastAsia" w:ascii="宋体" w:hAnsi="宋体" w:eastAsia="宋体" w:cs="宋体"/>
                <w:spacing w:val="-44"/>
                <w:sz w:val="24"/>
                <w:szCs w:val="24"/>
              </w:rPr>
              <w:t>限价</w:t>
            </w:r>
            <w:r>
              <w:rPr>
                <w:rFonts w:hint="eastAsia" w:ascii="宋体" w:hAnsi="宋体" w:eastAsia="宋体" w:cs="宋体"/>
                <w:sz w:val="24"/>
                <w:szCs w:val="24"/>
              </w:rPr>
              <w:t>（单价</w:t>
            </w:r>
            <w:r>
              <w:rPr>
                <w:rFonts w:hint="eastAsia" w:ascii="宋体" w:hAnsi="宋体" w:eastAsia="宋体" w:cs="宋体"/>
                <w:spacing w:val="-12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7" w:hRule="atLeast"/>
        </w:trPr>
        <w:tc>
          <w:tcPr>
            <w:tcW w:w="666" w:type="dxa"/>
            <w:noWrap w:val="0"/>
            <w:vAlign w:val="center"/>
          </w:tcPr>
          <w:p>
            <w:pPr>
              <w:pStyle w:val="54"/>
              <w:spacing w:before="5"/>
              <w:ind w:left="142" w:right="13"/>
              <w:jc w:val="center"/>
              <w:rPr>
                <w:rFonts w:hint="eastAsia" w:ascii="仿宋" w:hAnsi="仿宋" w:eastAsia="仿宋" w:cs="仿宋"/>
                <w:sz w:val="24"/>
                <w:szCs w:val="24"/>
              </w:rPr>
            </w:pPr>
            <w:r>
              <w:rPr>
                <w:rFonts w:hint="eastAsia" w:ascii="仿宋" w:hAnsi="仿宋" w:eastAsia="仿宋" w:cs="仿宋"/>
                <w:sz w:val="24"/>
                <w:szCs w:val="24"/>
              </w:rPr>
              <w:t>大米</w:t>
            </w:r>
          </w:p>
          <w:p>
            <w:pPr>
              <w:pStyle w:val="54"/>
              <w:spacing w:before="124"/>
              <w:ind w:left="152" w:right="13"/>
              <w:jc w:val="center"/>
              <w:rPr>
                <w:rFonts w:hint="eastAsia" w:ascii="仿宋" w:hAnsi="仿宋" w:eastAsia="仿宋" w:cs="仿宋"/>
                <w:sz w:val="24"/>
                <w:szCs w:val="24"/>
              </w:rPr>
            </w:pPr>
          </w:p>
        </w:tc>
        <w:tc>
          <w:tcPr>
            <w:tcW w:w="6240" w:type="dxa"/>
            <w:noWrap w:val="0"/>
            <w:vAlign w:val="top"/>
          </w:tcPr>
          <w:p>
            <w:pPr>
              <w:rPr>
                <w:rFonts w:hint="eastAsia" w:ascii="宋体" w:hAnsi="宋体" w:cs="宋体"/>
                <w:i w:val="0"/>
                <w:caps w:val="0"/>
                <w:color w:val="auto"/>
                <w:spacing w:val="0"/>
                <w:sz w:val="24"/>
                <w:szCs w:val="24"/>
                <w:highlight w:val="none"/>
                <w:shd w:val="clear" w:color="auto" w:fill="auto"/>
                <w:lang w:val="en-US" w:eastAsia="zh-CN"/>
              </w:rPr>
            </w:pPr>
            <w:r>
              <w:rPr>
                <w:rFonts w:hint="eastAsia" w:ascii="宋体" w:hAnsi="宋体" w:cs="宋体"/>
                <w:i w:val="0"/>
                <w:caps w:val="0"/>
                <w:color w:val="auto"/>
                <w:spacing w:val="0"/>
                <w:sz w:val="24"/>
                <w:szCs w:val="24"/>
                <w:highlight w:val="none"/>
                <w:shd w:val="clear" w:color="auto" w:fill="auto"/>
                <w:lang w:val="en-US" w:eastAsia="zh-CN"/>
              </w:rPr>
              <w:t>大米质量、卫生和检验按照国家GB/T1354-2018、</w:t>
            </w:r>
            <w:r>
              <w:rPr>
                <w:rFonts w:hint="eastAsia" w:ascii="宋体" w:hAnsi="宋体" w:cs="宋体"/>
                <w:i w:val="0"/>
                <w:caps w:val="0"/>
                <w:color w:val="auto"/>
                <w:spacing w:val="0"/>
                <w:sz w:val="24"/>
                <w:szCs w:val="24"/>
                <w:highlight w:val="none"/>
                <w:shd w:val="clear" w:color="auto" w:fill="auto"/>
                <w:lang w:val="en-US" w:eastAsia="zh-CN"/>
              </w:rPr>
              <w:t>、GB 2715-2016、</w:t>
            </w:r>
            <w:r>
              <w:rPr>
                <w:rFonts w:hint="eastAsia" w:ascii="宋体" w:hAnsi="宋体" w:cs="宋体"/>
                <w:i w:val="0"/>
                <w:caps w:val="0"/>
                <w:color w:val="auto"/>
                <w:spacing w:val="0"/>
                <w:sz w:val="24"/>
                <w:szCs w:val="24"/>
                <w:highlight w:val="none"/>
                <w:shd w:val="clear" w:color="auto" w:fill="auto"/>
                <w:lang w:val="en-US" w:eastAsia="zh-CN"/>
              </w:rPr>
              <w:t>GB 2761-2017、 GB 2762-2017 、GB2763—2021等相关标准的最新标准执行。</w:t>
            </w:r>
          </w:p>
          <w:p>
            <w:pPr>
              <w:rPr>
                <w:rFonts w:hint="default" w:ascii="仿宋" w:hAnsi="仿宋" w:eastAsia="仿宋" w:cs="仿宋"/>
                <w:i w:val="0"/>
                <w:caps w:val="0"/>
                <w:color w:val="auto"/>
                <w:spacing w:val="0"/>
                <w:sz w:val="24"/>
                <w:szCs w:val="24"/>
                <w:highlight w:val="none"/>
                <w:shd w:val="clear" w:color="auto" w:fill="auto"/>
                <w:vertAlign w:val="baseline"/>
                <w:lang w:val="en-US" w:eastAsia="zh-CN"/>
              </w:rPr>
            </w:pPr>
            <w:r>
              <w:rPr>
                <w:rFonts w:hint="eastAsia" w:ascii="仿宋" w:hAnsi="仿宋" w:cs="仿宋"/>
                <w:i w:val="0"/>
                <w:caps w:val="0"/>
                <w:color w:val="auto"/>
                <w:spacing w:val="0"/>
                <w:sz w:val="24"/>
                <w:szCs w:val="24"/>
                <w:highlight w:val="none"/>
                <w:shd w:val="clear" w:color="auto" w:fill="auto"/>
                <w:lang w:val="en-US" w:eastAsia="zh-CN"/>
              </w:rPr>
              <w:t>等级：</w:t>
            </w:r>
            <w:r>
              <w:rPr>
                <w:rFonts w:hint="eastAsia" w:ascii="仿宋" w:hAnsi="仿宋" w:eastAsia="仿宋" w:cs="仿宋"/>
                <w:i w:val="0"/>
                <w:caps w:val="0"/>
                <w:color w:val="auto"/>
                <w:spacing w:val="0"/>
                <w:sz w:val="24"/>
                <w:szCs w:val="24"/>
                <w:highlight w:val="none"/>
                <w:shd w:val="clear" w:color="auto" w:fill="auto"/>
                <w:lang w:val="en-US" w:eastAsia="zh-CN"/>
              </w:rPr>
              <w:t>优质大米（粳米）一级</w:t>
            </w:r>
            <w:r>
              <w:rPr>
                <w:rFonts w:hint="eastAsia" w:ascii="仿宋" w:hAnsi="仿宋" w:cs="仿宋"/>
                <w:i w:val="0"/>
                <w:caps w:val="0"/>
                <w:color w:val="auto"/>
                <w:spacing w:val="0"/>
                <w:sz w:val="24"/>
                <w:szCs w:val="24"/>
                <w:highlight w:val="none"/>
                <w:shd w:val="clear" w:color="auto" w:fill="auto"/>
                <w:lang w:val="en-US" w:eastAsia="zh-CN"/>
              </w:rPr>
              <w:t>。具体指标：</w:t>
            </w:r>
            <w:r>
              <w:rPr>
                <w:rFonts w:hint="eastAsia" w:ascii="仿宋" w:hAnsi="仿宋" w:eastAsia="仿宋" w:cs="仿宋"/>
                <w:i w:val="0"/>
                <w:caps w:val="0"/>
                <w:color w:val="auto"/>
                <w:spacing w:val="0"/>
                <w:sz w:val="24"/>
                <w:szCs w:val="24"/>
                <w:highlight w:val="none"/>
                <w:shd w:val="clear" w:color="auto" w:fill="auto"/>
                <w:lang w:val="en-US" w:eastAsia="zh-CN"/>
              </w:rPr>
              <w:t>1、</w:t>
            </w:r>
            <w:r>
              <w:rPr>
                <w:rFonts w:hint="eastAsia" w:ascii="仿宋" w:hAnsi="仿宋" w:eastAsia="仿宋" w:cs="仿宋"/>
                <w:i w:val="0"/>
                <w:caps w:val="0"/>
                <w:color w:val="auto"/>
                <w:spacing w:val="0"/>
                <w:sz w:val="24"/>
                <w:szCs w:val="24"/>
                <w:highlight w:val="none"/>
                <w:shd w:val="clear" w:color="auto" w:fill="auto"/>
              </w:rPr>
              <w:t>色泽与气味要求正常</w:t>
            </w:r>
            <w:r>
              <w:rPr>
                <w:rFonts w:hint="eastAsia" w:ascii="仿宋" w:hAnsi="仿宋" w:eastAsia="仿宋" w:cs="仿宋"/>
                <w:i w:val="0"/>
                <w:caps w:val="0"/>
                <w:color w:val="auto"/>
                <w:spacing w:val="0"/>
                <w:sz w:val="24"/>
                <w:szCs w:val="24"/>
                <w:highlight w:val="none"/>
                <w:shd w:val="clear" w:color="auto" w:fill="auto"/>
                <w:lang w:eastAsia="zh-CN"/>
              </w:rPr>
              <w:t>。</w:t>
            </w:r>
            <w:r>
              <w:rPr>
                <w:rFonts w:hint="eastAsia" w:ascii="仿宋" w:hAnsi="仿宋" w:eastAsia="仿宋" w:cs="仿宋"/>
                <w:i w:val="0"/>
                <w:caps w:val="0"/>
                <w:color w:val="auto"/>
                <w:spacing w:val="0"/>
                <w:sz w:val="24"/>
                <w:szCs w:val="24"/>
                <w:highlight w:val="none"/>
                <w:shd w:val="clear" w:color="auto" w:fill="auto"/>
                <w:lang w:val="en-US" w:eastAsia="zh-CN"/>
              </w:rPr>
              <w:t>2、垩白度</w:t>
            </w:r>
            <w:r>
              <w:rPr>
                <w:rFonts w:hint="eastAsia" w:ascii="仿宋" w:hAnsi="仿宋" w:eastAsia="仿宋" w:cs="仿宋"/>
                <w:i w:val="0"/>
                <w:caps w:val="0"/>
                <w:color w:val="auto"/>
                <w:spacing w:val="0"/>
                <w:sz w:val="24"/>
                <w:szCs w:val="24"/>
                <w:shd w:val="clear" w:color="auto" w:fill="auto"/>
                <w:lang w:eastAsia="zh-CN"/>
              </w:rPr>
              <w:t>≤</w:t>
            </w:r>
            <w:r>
              <w:rPr>
                <w:rFonts w:hint="eastAsia" w:ascii="仿宋" w:hAnsi="仿宋" w:eastAsia="仿宋" w:cs="仿宋"/>
                <w:i w:val="0"/>
                <w:caps w:val="0"/>
                <w:color w:val="auto"/>
                <w:spacing w:val="0"/>
                <w:sz w:val="24"/>
                <w:szCs w:val="24"/>
                <w:shd w:val="clear" w:color="auto" w:fill="auto"/>
                <w:lang w:val="en-US" w:eastAsia="zh-CN"/>
              </w:rPr>
              <w:t>2</w:t>
            </w:r>
            <w:r>
              <w:rPr>
                <w:rFonts w:hint="eastAsia" w:ascii="仿宋" w:hAnsi="仿宋" w:eastAsia="仿宋" w:cs="仿宋"/>
                <w:i w:val="0"/>
                <w:caps w:val="0"/>
                <w:color w:val="auto"/>
                <w:spacing w:val="0"/>
                <w:sz w:val="24"/>
                <w:szCs w:val="24"/>
                <w:highlight w:val="none"/>
                <w:shd w:val="clear" w:color="auto" w:fill="auto"/>
                <w:lang w:val="en-US" w:eastAsia="zh-CN"/>
              </w:rPr>
              <w:t>.0</w:t>
            </w:r>
            <w:r>
              <w:rPr>
                <w:rFonts w:hint="eastAsia" w:ascii="仿宋" w:hAnsi="仿宋" w:eastAsia="仿宋" w:cs="仿宋"/>
                <w:i w:val="0"/>
                <w:caps w:val="0"/>
                <w:color w:val="auto"/>
                <w:spacing w:val="0"/>
                <w:sz w:val="24"/>
                <w:szCs w:val="24"/>
                <w:highlight w:val="none"/>
                <w:shd w:val="clear" w:color="auto" w:fill="auto"/>
              </w:rPr>
              <w:t>%</w:t>
            </w:r>
            <w:r>
              <w:rPr>
                <w:rFonts w:hint="eastAsia" w:ascii="仿宋" w:hAnsi="仿宋" w:eastAsia="仿宋" w:cs="仿宋"/>
                <w:i w:val="0"/>
                <w:caps w:val="0"/>
                <w:color w:val="auto"/>
                <w:spacing w:val="0"/>
                <w:sz w:val="24"/>
                <w:szCs w:val="24"/>
                <w:highlight w:val="none"/>
                <w:shd w:val="clear" w:color="auto" w:fill="auto"/>
                <w:lang w:eastAsia="zh-CN"/>
              </w:rPr>
              <w:t>。</w:t>
            </w:r>
            <w:r>
              <w:rPr>
                <w:rFonts w:hint="eastAsia" w:ascii="仿宋" w:hAnsi="仿宋" w:eastAsia="仿宋" w:cs="仿宋"/>
                <w:i w:val="0"/>
                <w:caps w:val="0"/>
                <w:color w:val="auto"/>
                <w:spacing w:val="0"/>
                <w:sz w:val="24"/>
                <w:szCs w:val="24"/>
                <w:highlight w:val="none"/>
                <w:shd w:val="clear" w:color="auto" w:fill="auto"/>
                <w:lang w:val="en-US" w:eastAsia="zh-CN"/>
              </w:rPr>
              <w:t>3.</w:t>
            </w:r>
            <w:r>
              <w:rPr>
                <w:rFonts w:hint="eastAsia" w:ascii="仿宋" w:hAnsi="仿宋" w:eastAsia="仿宋" w:cs="仿宋"/>
                <w:i w:val="0"/>
                <w:caps w:val="0"/>
                <w:color w:val="auto"/>
                <w:spacing w:val="0"/>
                <w:sz w:val="24"/>
                <w:szCs w:val="24"/>
                <w:highlight w:val="none"/>
                <w:shd w:val="clear" w:color="auto" w:fill="auto"/>
              </w:rPr>
              <w:t>黄粒米</w:t>
            </w:r>
            <w:r>
              <w:rPr>
                <w:rFonts w:hint="eastAsia" w:ascii="仿宋" w:hAnsi="仿宋" w:eastAsia="仿宋" w:cs="仿宋"/>
                <w:i w:val="0"/>
                <w:caps w:val="0"/>
                <w:color w:val="auto"/>
                <w:spacing w:val="0"/>
                <w:sz w:val="24"/>
                <w:szCs w:val="24"/>
                <w:highlight w:val="none"/>
                <w:shd w:val="clear" w:color="auto" w:fill="auto"/>
                <w:lang w:val="en-US" w:eastAsia="zh-CN"/>
              </w:rPr>
              <w:t>含量</w:t>
            </w:r>
            <w:r>
              <w:rPr>
                <w:rFonts w:hint="eastAsia" w:ascii="仿宋" w:hAnsi="仿宋" w:eastAsia="仿宋" w:cs="仿宋"/>
                <w:i w:val="0"/>
                <w:caps w:val="0"/>
                <w:color w:val="auto"/>
                <w:spacing w:val="0"/>
                <w:sz w:val="24"/>
                <w:szCs w:val="24"/>
                <w:shd w:val="clear" w:color="auto" w:fill="auto"/>
                <w:lang w:eastAsia="zh-CN"/>
              </w:rPr>
              <w:t>≤</w:t>
            </w:r>
            <w:r>
              <w:rPr>
                <w:rFonts w:hint="eastAsia" w:ascii="仿宋" w:hAnsi="仿宋" w:eastAsia="仿宋" w:cs="仿宋"/>
                <w:i w:val="0"/>
                <w:caps w:val="0"/>
                <w:color w:val="auto"/>
                <w:spacing w:val="0"/>
                <w:sz w:val="24"/>
                <w:szCs w:val="24"/>
                <w:shd w:val="clear" w:color="auto" w:fill="auto"/>
                <w:lang w:val="en-US" w:eastAsia="zh-CN"/>
              </w:rPr>
              <w:t>0.5</w:t>
            </w:r>
            <w:r>
              <w:rPr>
                <w:rFonts w:hint="eastAsia" w:ascii="仿宋" w:hAnsi="仿宋" w:eastAsia="仿宋" w:cs="仿宋"/>
                <w:i w:val="0"/>
                <w:caps w:val="0"/>
                <w:color w:val="auto"/>
                <w:spacing w:val="0"/>
                <w:sz w:val="24"/>
                <w:szCs w:val="24"/>
                <w:highlight w:val="none"/>
                <w:shd w:val="clear" w:color="auto" w:fill="auto"/>
              </w:rPr>
              <w:t>%</w:t>
            </w:r>
            <w:r>
              <w:rPr>
                <w:rFonts w:hint="eastAsia" w:ascii="仿宋" w:hAnsi="仿宋" w:eastAsia="仿宋" w:cs="仿宋"/>
                <w:i w:val="0"/>
                <w:caps w:val="0"/>
                <w:color w:val="auto"/>
                <w:spacing w:val="0"/>
                <w:sz w:val="24"/>
                <w:szCs w:val="24"/>
                <w:highlight w:val="none"/>
                <w:shd w:val="clear" w:color="auto" w:fill="auto"/>
                <w:lang w:eastAsia="zh-CN"/>
              </w:rPr>
              <w:t>。</w:t>
            </w:r>
            <w:r>
              <w:rPr>
                <w:rFonts w:hint="eastAsia" w:ascii="仿宋" w:hAnsi="仿宋" w:eastAsia="仿宋" w:cs="仿宋"/>
                <w:i w:val="0"/>
                <w:caps w:val="0"/>
                <w:color w:val="auto"/>
                <w:spacing w:val="0"/>
                <w:sz w:val="24"/>
                <w:szCs w:val="24"/>
                <w:highlight w:val="none"/>
                <w:shd w:val="clear" w:color="auto" w:fill="auto"/>
                <w:lang w:val="en-US" w:eastAsia="zh-CN"/>
              </w:rPr>
              <w:t>4.</w:t>
            </w:r>
            <w:r>
              <w:rPr>
                <w:rFonts w:hint="eastAsia" w:ascii="仿宋" w:hAnsi="仿宋" w:eastAsia="仿宋" w:cs="仿宋"/>
                <w:i w:val="0"/>
                <w:caps w:val="0"/>
                <w:color w:val="auto"/>
                <w:spacing w:val="0"/>
                <w:sz w:val="24"/>
                <w:szCs w:val="24"/>
                <w:highlight w:val="none"/>
                <w:shd w:val="clear" w:color="auto" w:fill="auto"/>
              </w:rPr>
              <w:t>不完善粒</w:t>
            </w:r>
            <w:r>
              <w:rPr>
                <w:rFonts w:hint="eastAsia" w:ascii="仿宋" w:hAnsi="仿宋" w:eastAsia="仿宋" w:cs="仿宋"/>
                <w:i w:val="0"/>
                <w:caps w:val="0"/>
                <w:color w:val="auto"/>
                <w:spacing w:val="0"/>
                <w:sz w:val="24"/>
                <w:szCs w:val="24"/>
                <w:shd w:val="clear" w:color="auto" w:fill="auto"/>
                <w:lang w:eastAsia="zh-CN"/>
              </w:rPr>
              <w:t>≤</w:t>
            </w:r>
            <w:r>
              <w:rPr>
                <w:rFonts w:hint="eastAsia" w:ascii="仿宋" w:hAnsi="仿宋" w:eastAsia="仿宋" w:cs="仿宋"/>
                <w:i w:val="0"/>
                <w:caps w:val="0"/>
                <w:color w:val="auto"/>
                <w:spacing w:val="0"/>
                <w:sz w:val="24"/>
                <w:szCs w:val="24"/>
                <w:highlight w:val="none"/>
                <w:shd w:val="clear" w:color="auto" w:fill="auto"/>
              </w:rPr>
              <w:t>3</w:t>
            </w:r>
            <w:r>
              <w:rPr>
                <w:rFonts w:hint="eastAsia" w:ascii="仿宋" w:hAnsi="仿宋" w:eastAsia="仿宋" w:cs="仿宋"/>
                <w:i w:val="0"/>
                <w:caps w:val="0"/>
                <w:color w:val="auto"/>
                <w:spacing w:val="0"/>
                <w:sz w:val="24"/>
                <w:szCs w:val="24"/>
                <w:highlight w:val="none"/>
                <w:shd w:val="clear" w:color="auto" w:fill="auto"/>
                <w:lang w:val="en-US" w:eastAsia="zh-CN"/>
              </w:rPr>
              <w:t>.0</w:t>
            </w:r>
            <w:r>
              <w:rPr>
                <w:rFonts w:hint="eastAsia" w:ascii="仿宋" w:hAnsi="仿宋" w:eastAsia="仿宋" w:cs="仿宋"/>
                <w:i w:val="0"/>
                <w:caps w:val="0"/>
                <w:color w:val="auto"/>
                <w:spacing w:val="0"/>
                <w:sz w:val="24"/>
                <w:szCs w:val="24"/>
                <w:highlight w:val="none"/>
                <w:shd w:val="clear" w:color="auto" w:fill="auto"/>
              </w:rPr>
              <w:t>%</w:t>
            </w:r>
            <w:r>
              <w:rPr>
                <w:rFonts w:hint="eastAsia" w:ascii="仿宋" w:hAnsi="仿宋" w:eastAsia="仿宋" w:cs="仿宋"/>
                <w:i w:val="0"/>
                <w:caps w:val="0"/>
                <w:color w:val="auto"/>
                <w:spacing w:val="0"/>
                <w:sz w:val="24"/>
                <w:szCs w:val="24"/>
                <w:highlight w:val="none"/>
                <w:shd w:val="clear" w:color="auto" w:fill="auto"/>
                <w:lang w:eastAsia="zh-CN"/>
              </w:rPr>
              <w:t>。</w:t>
            </w:r>
            <w:r>
              <w:rPr>
                <w:rFonts w:hint="eastAsia" w:ascii="仿宋" w:hAnsi="仿宋" w:eastAsia="仿宋" w:cs="仿宋"/>
                <w:i w:val="0"/>
                <w:caps w:val="0"/>
                <w:color w:val="auto"/>
                <w:spacing w:val="0"/>
                <w:sz w:val="24"/>
                <w:szCs w:val="24"/>
                <w:highlight w:val="none"/>
                <w:shd w:val="clear" w:color="auto" w:fill="auto"/>
                <w:lang w:val="en-US" w:eastAsia="zh-CN"/>
              </w:rPr>
              <w:t>5.</w:t>
            </w:r>
            <w:r>
              <w:rPr>
                <w:rFonts w:hint="eastAsia" w:ascii="仿宋" w:hAnsi="仿宋" w:eastAsia="仿宋" w:cs="仿宋"/>
                <w:i w:val="0"/>
                <w:caps w:val="0"/>
                <w:color w:val="auto"/>
                <w:spacing w:val="0"/>
                <w:sz w:val="24"/>
                <w:szCs w:val="24"/>
                <w:highlight w:val="none"/>
                <w:shd w:val="clear" w:color="auto" w:fill="auto"/>
              </w:rPr>
              <w:t>粳米的杂质含量</w:t>
            </w:r>
            <w:r>
              <w:rPr>
                <w:rFonts w:hint="eastAsia" w:ascii="仿宋" w:hAnsi="仿宋" w:eastAsia="仿宋" w:cs="仿宋"/>
                <w:i w:val="0"/>
                <w:caps w:val="0"/>
                <w:color w:val="auto"/>
                <w:spacing w:val="0"/>
                <w:sz w:val="24"/>
                <w:szCs w:val="24"/>
                <w:shd w:val="clear" w:color="auto" w:fill="auto"/>
                <w:lang w:eastAsia="zh-CN"/>
              </w:rPr>
              <w:t>≤</w:t>
            </w:r>
            <w:r>
              <w:rPr>
                <w:rFonts w:hint="eastAsia" w:ascii="仿宋" w:hAnsi="仿宋" w:eastAsia="仿宋" w:cs="仿宋"/>
                <w:i w:val="0"/>
                <w:caps w:val="0"/>
                <w:color w:val="auto"/>
                <w:spacing w:val="0"/>
                <w:sz w:val="24"/>
                <w:szCs w:val="24"/>
                <w:highlight w:val="none"/>
                <w:shd w:val="clear" w:color="auto" w:fill="auto"/>
              </w:rPr>
              <w:t>0.25%</w:t>
            </w:r>
            <w:r>
              <w:rPr>
                <w:rFonts w:hint="eastAsia" w:ascii="仿宋" w:hAnsi="仿宋" w:eastAsia="仿宋" w:cs="仿宋"/>
                <w:i w:val="0"/>
                <w:caps w:val="0"/>
                <w:color w:val="auto"/>
                <w:spacing w:val="0"/>
                <w:sz w:val="24"/>
                <w:szCs w:val="24"/>
                <w:highlight w:val="none"/>
                <w:shd w:val="clear" w:color="auto" w:fill="auto"/>
                <w:lang w:eastAsia="zh-CN"/>
              </w:rPr>
              <w:t>，</w:t>
            </w:r>
            <w:r>
              <w:rPr>
                <w:rFonts w:hint="eastAsia" w:ascii="仿宋" w:hAnsi="仿宋" w:eastAsia="仿宋" w:cs="仿宋"/>
                <w:i w:val="0"/>
                <w:caps w:val="0"/>
                <w:color w:val="auto"/>
                <w:spacing w:val="0"/>
                <w:sz w:val="24"/>
                <w:szCs w:val="24"/>
                <w:highlight w:val="none"/>
                <w:shd w:val="clear" w:color="auto" w:fill="auto"/>
                <w:lang w:val="en-US" w:eastAsia="zh-CN"/>
              </w:rPr>
              <w:t>其中：无机杂质含量</w:t>
            </w:r>
            <w:r>
              <w:rPr>
                <w:rFonts w:hint="eastAsia" w:ascii="仿宋" w:hAnsi="仿宋" w:eastAsia="仿宋" w:cs="仿宋"/>
                <w:i w:val="0"/>
                <w:caps w:val="0"/>
                <w:color w:val="auto"/>
                <w:spacing w:val="0"/>
                <w:sz w:val="24"/>
                <w:szCs w:val="24"/>
                <w:shd w:val="clear" w:color="auto" w:fill="auto"/>
                <w:lang w:eastAsia="zh-CN"/>
              </w:rPr>
              <w:t>≤</w:t>
            </w:r>
            <w:r>
              <w:rPr>
                <w:rFonts w:hint="eastAsia" w:ascii="仿宋" w:hAnsi="仿宋" w:eastAsia="仿宋" w:cs="仿宋"/>
                <w:i w:val="0"/>
                <w:caps w:val="0"/>
                <w:color w:val="auto"/>
                <w:spacing w:val="0"/>
                <w:sz w:val="24"/>
                <w:szCs w:val="24"/>
                <w:shd w:val="clear" w:color="auto" w:fill="auto"/>
                <w:lang w:val="en-US" w:eastAsia="zh-CN"/>
              </w:rPr>
              <w:t>0.02%</w:t>
            </w:r>
            <w:r>
              <w:rPr>
                <w:rFonts w:hint="eastAsia" w:ascii="仿宋" w:hAnsi="仿宋" w:eastAsia="仿宋" w:cs="仿宋"/>
                <w:i w:val="0"/>
                <w:caps w:val="0"/>
                <w:color w:val="auto"/>
                <w:spacing w:val="0"/>
                <w:sz w:val="24"/>
                <w:szCs w:val="24"/>
                <w:highlight w:val="none"/>
                <w:shd w:val="clear" w:color="auto" w:fill="auto"/>
                <w:lang w:eastAsia="zh-CN"/>
              </w:rPr>
              <w:t>。</w:t>
            </w:r>
            <w:r>
              <w:rPr>
                <w:rFonts w:hint="eastAsia" w:ascii="仿宋" w:hAnsi="仿宋" w:eastAsia="仿宋" w:cs="仿宋"/>
                <w:i w:val="0"/>
                <w:caps w:val="0"/>
                <w:color w:val="auto"/>
                <w:spacing w:val="0"/>
                <w:sz w:val="24"/>
                <w:szCs w:val="24"/>
                <w:highlight w:val="none"/>
                <w:shd w:val="clear" w:color="auto" w:fill="auto"/>
                <w:lang w:val="en-US" w:eastAsia="zh-CN"/>
              </w:rPr>
              <w:t>6.</w:t>
            </w:r>
            <w:r>
              <w:rPr>
                <w:rFonts w:hint="eastAsia" w:ascii="仿宋" w:hAnsi="仿宋" w:eastAsia="仿宋" w:cs="仿宋"/>
                <w:i w:val="0"/>
                <w:caps w:val="0"/>
                <w:color w:val="auto"/>
                <w:spacing w:val="0"/>
                <w:sz w:val="24"/>
                <w:szCs w:val="24"/>
                <w:highlight w:val="none"/>
                <w:shd w:val="clear" w:color="auto" w:fill="auto"/>
              </w:rPr>
              <w:t>碎米总量</w:t>
            </w:r>
            <w:r>
              <w:rPr>
                <w:rFonts w:hint="eastAsia" w:ascii="仿宋" w:hAnsi="仿宋" w:eastAsia="仿宋" w:cs="仿宋"/>
                <w:i w:val="0"/>
                <w:caps w:val="0"/>
                <w:color w:val="auto"/>
                <w:spacing w:val="0"/>
                <w:sz w:val="24"/>
                <w:szCs w:val="24"/>
                <w:shd w:val="clear" w:color="auto" w:fill="auto"/>
                <w:lang w:eastAsia="zh-CN"/>
              </w:rPr>
              <w:t>≤</w:t>
            </w:r>
            <w:r>
              <w:rPr>
                <w:rFonts w:hint="eastAsia" w:ascii="仿宋" w:hAnsi="仿宋" w:eastAsia="仿宋" w:cs="仿宋"/>
                <w:i w:val="0"/>
                <w:caps w:val="0"/>
                <w:color w:val="auto"/>
                <w:spacing w:val="0"/>
                <w:sz w:val="24"/>
                <w:szCs w:val="24"/>
                <w:shd w:val="clear" w:color="auto" w:fill="auto"/>
                <w:lang w:val="en-US" w:eastAsia="zh-CN"/>
              </w:rPr>
              <w:t>5</w:t>
            </w:r>
            <w:r>
              <w:rPr>
                <w:rFonts w:hint="eastAsia" w:ascii="仿宋" w:hAnsi="仿宋" w:eastAsia="仿宋" w:cs="仿宋"/>
                <w:i w:val="0"/>
                <w:caps w:val="0"/>
                <w:color w:val="auto"/>
                <w:spacing w:val="0"/>
                <w:sz w:val="24"/>
                <w:szCs w:val="24"/>
                <w:highlight w:val="none"/>
                <w:shd w:val="clear" w:color="auto" w:fill="auto"/>
              </w:rPr>
              <w:t>%，</w:t>
            </w:r>
            <w:r>
              <w:rPr>
                <w:rFonts w:hint="eastAsia" w:ascii="仿宋" w:hAnsi="仿宋" w:eastAsia="仿宋" w:cs="仿宋"/>
                <w:i w:val="0"/>
                <w:caps w:val="0"/>
                <w:color w:val="auto"/>
                <w:spacing w:val="0"/>
                <w:sz w:val="24"/>
                <w:szCs w:val="24"/>
                <w:highlight w:val="none"/>
                <w:shd w:val="clear" w:color="auto" w:fill="auto"/>
                <w:lang w:val="en-US" w:eastAsia="zh-CN"/>
              </w:rPr>
              <w:t>其中</w:t>
            </w:r>
            <w:r>
              <w:rPr>
                <w:rFonts w:hint="eastAsia" w:ascii="仿宋" w:hAnsi="仿宋" w:eastAsia="仿宋" w:cs="仿宋"/>
                <w:i w:val="0"/>
                <w:caps w:val="0"/>
                <w:color w:val="auto"/>
                <w:spacing w:val="0"/>
                <w:sz w:val="24"/>
                <w:szCs w:val="24"/>
                <w:highlight w:val="none"/>
                <w:shd w:val="clear" w:color="auto" w:fill="auto"/>
              </w:rPr>
              <w:t>小碎米</w:t>
            </w:r>
            <w:r>
              <w:rPr>
                <w:rFonts w:hint="eastAsia" w:ascii="仿宋" w:hAnsi="仿宋" w:eastAsia="仿宋" w:cs="仿宋"/>
                <w:i w:val="0"/>
                <w:caps w:val="0"/>
                <w:color w:val="auto"/>
                <w:spacing w:val="0"/>
                <w:sz w:val="24"/>
                <w:szCs w:val="24"/>
                <w:shd w:val="clear" w:color="auto" w:fill="auto"/>
                <w:lang w:eastAsia="zh-CN"/>
              </w:rPr>
              <w:t>≤</w:t>
            </w:r>
            <w:r>
              <w:rPr>
                <w:rFonts w:hint="eastAsia" w:ascii="仿宋" w:hAnsi="仿宋" w:eastAsia="仿宋" w:cs="仿宋"/>
                <w:i w:val="0"/>
                <w:caps w:val="0"/>
                <w:color w:val="auto"/>
                <w:spacing w:val="0"/>
                <w:sz w:val="24"/>
                <w:szCs w:val="24"/>
                <w:shd w:val="clear" w:color="auto" w:fill="auto"/>
                <w:lang w:val="en-US" w:eastAsia="zh-CN"/>
              </w:rPr>
              <w:t>0.</w:t>
            </w:r>
            <w:r>
              <w:rPr>
                <w:rFonts w:hint="eastAsia" w:ascii="仿宋" w:hAnsi="仿宋" w:eastAsia="仿宋" w:cs="仿宋"/>
                <w:i w:val="0"/>
                <w:caps w:val="0"/>
                <w:color w:val="auto"/>
                <w:spacing w:val="0"/>
                <w:sz w:val="24"/>
                <w:szCs w:val="24"/>
                <w:highlight w:val="none"/>
                <w:shd w:val="clear" w:color="auto" w:fill="auto"/>
                <w:lang w:val="en-US" w:eastAsia="zh-CN"/>
              </w:rPr>
              <w:t>1</w:t>
            </w:r>
            <w:r>
              <w:rPr>
                <w:rFonts w:hint="eastAsia" w:ascii="仿宋" w:hAnsi="仿宋" w:eastAsia="仿宋" w:cs="仿宋"/>
                <w:i w:val="0"/>
                <w:caps w:val="0"/>
                <w:color w:val="auto"/>
                <w:spacing w:val="0"/>
                <w:sz w:val="24"/>
                <w:szCs w:val="24"/>
                <w:highlight w:val="none"/>
                <w:shd w:val="clear" w:color="auto" w:fill="auto"/>
              </w:rPr>
              <w:t>%。</w:t>
            </w:r>
            <w:r>
              <w:rPr>
                <w:rFonts w:hint="eastAsia" w:ascii="仿宋" w:hAnsi="仿宋" w:eastAsia="仿宋" w:cs="仿宋"/>
                <w:i w:val="0"/>
                <w:caps w:val="0"/>
                <w:color w:val="auto"/>
                <w:spacing w:val="0"/>
                <w:sz w:val="24"/>
                <w:szCs w:val="24"/>
                <w:shd w:val="clear" w:color="auto" w:fill="auto"/>
                <w:lang w:val="en-US" w:eastAsia="zh-CN"/>
              </w:rPr>
              <w:t>7</w:t>
            </w:r>
            <w:r>
              <w:rPr>
                <w:rFonts w:hint="eastAsia" w:ascii="仿宋" w:hAnsi="仿宋" w:eastAsia="仿宋" w:cs="仿宋"/>
                <w:i w:val="0"/>
                <w:caps w:val="0"/>
                <w:color w:val="auto"/>
                <w:spacing w:val="0"/>
                <w:sz w:val="24"/>
                <w:szCs w:val="24"/>
                <w:highlight w:val="none"/>
                <w:shd w:val="clear" w:color="auto" w:fill="auto"/>
                <w:lang w:val="en-US" w:eastAsia="zh-CN"/>
              </w:rPr>
              <w:t>.水分</w:t>
            </w:r>
            <w:r>
              <w:rPr>
                <w:rFonts w:hint="eastAsia" w:ascii="仿宋" w:hAnsi="仿宋" w:eastAsia="仿宋" w:cs="仿宋"/>
                <w:i w:val="0"/>
                <w:caps w:val="0"/>
                <w:color w:val="auto"/>
                <w:spacing w:val="0"/>
                <w:sz w:val="24"/>
                <w:szCs w:val="24"/>
                <w:shd w:val="clear" w:color="auto" w:fill="auto"/>
                <w:lang w:eastAsia="zh-CN"/>
              </w:rPr>
              <w:t>≤</w:t>
            </w:r>
            <w:r>
              <w:rPr>
                <w:rFonts w:hint="eastAsia" w:ascii="仿宋" w:hAnsi="仿宋" w:eastAsia="仿宋" w:cs="仿宋"/>
                <w:i w:val="0"/>
                <w:caps w:val="0"/>
                <w:color w:val="auto"/>
                <w:spacing w:val="0"/>
                <w:sz w:val="24"/>
                <w:szCs w:val="24"/>
                <w:shd w:val="clear" w:color="auto" w:fill="auto"/>
                <w:lang w:val="en-US" w:eastAsia="zh-CN"/>
              </w:rPr>
              <w:t>15.5%。8.直链淀粉含量：（13.0-20.0）%。9.加工精度：精碾。10.互混率</w:t>
            </w:r>
            <w:r>
              <w:rPr>
                <w:rFonts w:hint="eastAsia" w:ascii="仿宋" w:hAnsi="仿宋" w:eastAsia="仿宋" w:cs="仿宋"/>
                <w:i w:val="0"/>
                <w:caps w:val="0"/>
                <w:color w:val="auto"/>
                <w:spacing w:val="0"/>
                <w:sz w:val="24"/>
                <w:szCs w:val="24"/>
                <w:shd w:val="clear" w:color="auto" w:fill="auto"/>
                <w:lang w:eastAsia="zh-CN"/>
              </w:rPr>
              <w:t>≤</w:t>
            </w:r>
            <w:r>
              <w:rPr>
                <w:rFonts w:hint="eastAsia" w:ascii="仿宋" w:hAnsi="仿宋" w:eastAsia="仿宋" w:cs="仿宋"/>
                <w:i w:val="0"/>
                <w:caps w:val="0"/>
                <w:color w:val="auto"/>
                <w:spacing w:val="0"/>
                <w:sz w:val="24"/>
                <w:szCs w:val="24"/>
                <w:shd w:val="clear" w:color="auto" w:fill="auto"/>
                <w:lang w:val="en-US" w:eastAsia="zh-CN"/>
              </w:rPr>
              <w:t>5</w:t>
            </w:r>
            <w:r>
              <w:rPr>
                <w:rFonts w:hint="eastAsia" w:ascii="仿宋" w:hAnsi="仿宋" w:cs="仿宋"/>
                <w:i w:val="0"/>
                <w:caps w:val="0"/>
                <w:color w:val="auto"/>
                <w:spacing w:val="0"/>
                <w:sz w:val="24"/>
                <w:szCs w:val="24"/>
                <w:shd w:val="clear" w:color="auto" w:fill="auto"/>
                <w:lang w:val="en-US" w:eastAsia="zh-CN"/>
              </w:rPr>
              <w:t>%</w:t>
            </w:r>
            <w:r>
              <w:rPr>
                <w:rFonts w:hint="eastAsia" w:ascii="仿宋" w:hAnsi="仿宋" w:eastAsia="仿宋" w:cs="仿宋"/>
                <w:i w:val="0"/>
                <w:caps w:val="0"/>
                <w:color w:val="auto"/>
                <w:spacing w:val="0"/>
                <w:sz w:val="24"/>
                <w:szCs w:val="24"/>
                <w:shd w:val="clear" w:color="auto" w:fill="auto"/>
                <w:lang w:val="en-US" w:eastAsia="zh-CN"/>
              </w:rPr>
              <w:t>。11.品尝评分值≥90分。12.六六六</w:t>
            </w:r>
            <w:r>
              <w:rPr>
                <w:rFonts w:hint="eastAsia" w:ascii="仿宋" w:hAnsi="仿宋" w:eastAsia="仿宋" w:cs="仿宋"/>
                <w:i w:val="0"/>
                <w:caps w:val="0"/>
                <w:color w:val="auto"/>
                <w:spacing w:val="0"/>
                <w:sz w:val="24"/>
                <w:szCs w:val="24"/>
                <w:shd w:val="clear" w:color="auto" w:fill="auto"/>
                <w:lang w:eastAsia="zh-CN"/>
              </w:rPr>
              <w:t>≤</w:t>
            </w:r>
            <w:r>
              <w:rPr>
                <w:rFonts w:hint="eastAsia" w:ascii="仿宋" w:hAnsi="仿宋" w:eastAsia="仿宋" w:cs="仿宋"/>
                <w:i w:val="0"/>
                <w:caps w:val="0"/>
                <w:color w:val="auto"/>
                <w:spacing w:val="0"/>
                <w:sz w:val="24"/>
                <w:szCs w:val="24"/>
                <w:shd w:val="clear" w:color="auto" w:fill="auto"/>
                <w:lang w:val="en-US" w:eastAsia="zh-CN"/>
              </w:rPr>
              <w:t>0.05mg/kg。13.滴滴涕</w:t>
            </w:r>
            <w:r>
              <w:rPr>
                <w:rFonts w:hint="eastAsia" w:ascii="仿宋" w:hAnsi="仿宋" w:eastAsia="仿宋" w:cs="仿宋"/>
                <w:i w:val="0"/>
                <w:caps w:val="0"/>
                <w:color w:val="auto"/>
                <w:spacing w:val="0"/>
                <w:sz w:val="24"/>
                <w:szCs w:val="24"/>
                <w:shd w:val="clear" w:color="auto" w:fill="auto"/>
                <w:lang w:eastAsia="zh-CN"/>
              </w:rPr>
              <w:t>≤</w:t>
            </w:r>
            <w:r>
              <w:rPr>
                <w:rFonts w:hint="eastAsia" w:ascii="仿宋" w:hAnsi="仿宋" w:eastAsia="仿宋" w:cs="仿宋"/>
                <w:i w:val="0"/>
                <w:caps w:val="0"/>
                <w:color w:val="auto"/>
                <w:spacing w:val="0"/>
                <w:sz w:val="24"/>
                <w:szCs w:val="24"/>
                <w:shd w:val="clear" w:color="auto" w:fill="auto"/>
                <w:lang w:val="en-US" w:eastAsia="zh-CN"/>
              </w:rPr>
              <w:t>0.05mg/kg。14.无机砷（以As计）</w:t>
            </w:r>
            <w:r>
              <w:rPr>
                <w:rFonts w:hint="eastAsia" w:ascii="仿宋" w:hAnsi="仿宋" w:eastAsia="仿宋" w:cs="仿宋"/>
                <w:i w:val="0"/>
                <w:caps w:val="0"/>
                <w:color w:val="auto"/>
                <w:spacing w:val="0"/>
                <w:sz w:val="24"/>
                <w:szCs w:val="24"/>
                <w:shd w:val="clear" w:color="auto" w:fill="auto"/>
                <w:lang w:eastAsia="zh-CN"/>
              </w:rPr>
              <w:t>≤</w:t>
            </w:r>
            <w:r>
              <w:rPr>
                <w:rFonts w:hint="eastAsia" w:ascii="仿宋" w:hAnsi="仿宋" w:eastAsia="仿宋" w:cs="仿宋"/>
                <w:i w:val="0"/>
                <w:caps w:val="0"/>
                <w:color w:val="auto"/>
                <w:spacing w:val="0"/>
                <w:sz w:val="24"/>
                <w:szCs w:val="24"/>
                <w:shd w:val="clear" w:color="auto" w:fill="auto"/>
                <w:lang w:val="en-US" w:eastAsia="zh-CN"/>
              </w:rPr>
              <w:t>0.2mg/kg。15.总汞（以Hg计）</w:t>
            </w:r>
            <w:r>
              <w:rPr>
                <w:rFonts w:hint="eastAsia" w:ascii="仿宋" w:hAnsi="仿宋" w:eastAsia="仿宋" w:cs="仿宋"/>
                <w:i w:val="0"/>
                <w:caps w:val="0"/>
                <w:color w:val="auto"/>
                <w:spacing w:val="0"/>
                <w:sz w:val="24"/>
                <w:szCs w:val="24"/>
                <w:shd w:val="clear" w:color="auto" w:fill="auto"/>
                <w:lang w:eastAsia="zh-CN"/>
              </w:rPr>
              <w:t>≤</w:t>
            </w:r>
            <w:r>
              <w:rPr>
                <w:rFonts w:hint="eastAsia" w:ascii="仿宋" w:hAnsi="仿宋" w:eastAsia="仿宋" w:cs="仿宋"/>
                <w:i w:val="0"/>
                <w:caps w:val="0"/>
                <w:color w:val="auto"/>
                <w:spacing w:val="0"/>
                <w:sz w:val="24"/>
                <w:szCs w:val="24"/>
                <w:shd w:val="clear" w:color="auto" w:fill="auto"/>
                <w:lang w:val="en-US" w:eastAsia="zh-CN"/>
              </w:rPr>
              <w:t>0.02mg/kg。16.铅（以Pb计）</w:t>
            </w:r>
            <w:r>
              <w:rPr>
                <w:rFonts w:hint="eastAsia" w:ascii="仿宋" w:hAnsi="仿宋" w:eastAsia="仿宋" w:cs="仿宋"/>
                <w:i w:val="0"/>
                <w:caps w:val="0"/>
                <w:color w:val="auto"/>
                <w:spacing w:val="0"/>
                <w:sz w:val="24"/>
                <w:szCs w:val="24"/>
                <w:shd w:val="clear" w:color="auto" w:fill="auto"/>
                <w:lang w:eastAsia="zh-CN"/>
              </w:rPr>
              <w:t>≤</w:t>
            </w:r>
            <w:r>
              <w:rPr>
                <w:rFonts w:hint="eastAsia" w:ascii="仿宋" w:hAnsi="仿宋" w:eastAsia="仿宋" w:cs="仿宋"/>
                <w:i w:val="0"/>
                <w:caps w:val="0"/>
                <w:color w:val="auto"/>
                <w:spacing w:val="0"/>
                <w:sz w:val="24"/>
                <w:szCs w:val="24"/>
                <w:shd w:val="clear" w:color="auto" w:fill="auto"/>
                <w:lang w:val="en-US" w:eastAsia="zh-CN"/>
              </w:rPr>
              <w:t>0.2mg/kg。17.镉（以Cd计）</w:t>
            </w:r>
            <w:r>
              <w:rPr>
                <w:rFonts w:hint="eastAsia" w:ascii="仿宋" w:hAnsi="仿宋" w:eastAsia="仿宋" w:cs="仿宋"/>
                <w:i w:val="0"/>
                <w:caps w:val="0"/>
                <w:color w:val="auto"/>
                <w:spacing w:val="0"/>
                <w:sz w:val="24"/>
                <w:szCs w:val="24"/>
                <w:shd w:val="clear" w:color="auto" w:fill="auto"/>
                <w:lang w:eastAsia="zh-CN"/>
              </w:rPr>
              <w:t>≤</w:t>
            </w:r>
            <w:r>
              <w:rPr>
                <w:rFonts w:hint="eastAsia" w:ascii="仿宋" w:hAnsi="仿宋" w:eastAsia="仿宋" w:cs="仿宋"/>
                <w:i w:val="0"/>
                <w:caps w:val="0"/>
                <w:color w:val="auto"/>
                <w:spacing w:val="0"/>
                <w:sz w:val="24"/>
                <w:szCs w:val="24"/>
                <w:shd w:val="clear" w:color="auto" w:fill="auto"/>
                <w:lang w:val="en-US" w:eastAsia="zh-CN"/>
              </w:rPr>
              <w:t>0.2mg/kg。18.铬（以Cr计）</w:t>
            </w:r>
            <w:r>
              <w:rPr>
                <w:rFonts w:hint="eastAsia" w:ascii="仿宋" w:hAnsi="仿宋" w:eastAsia="仿宋" w:cs="仿宋"/>
                <w:i w:val="0"/>
                <w:caps w:val="0"/>
                <w:color w:val="auto"/>
                <w:spacing w:val="0"/>
                <w:sz w:val="24"/>
                <w:szCs w:val="24"/>
                <w:shd w:val="clear" w:color="auto" w:fill="auto"/>
                <w:lang w:eastAsia="zh-CN"/>
              </w:rPr>
              <w:t>≤</w:t>
            </w:r>
            <w:r>
              <w:rPr>
                <w:rFonts w:hint="eastAsia" w:ascii="仿宋" w:hAnsi="仿宋" w:eastAsia="仿宋" w:cs="仿宋"/>
                <w:i w:val="0"/>
                <w:caps w:val="0"/>
                <w:color w:val="auto"/>
                <w:spacing w:val="0"/>
                <w:sz w:val="24"/>
                <w:szCs w:val="24"/>
                <w:shd w:val="clear" w:color="auto" w:fill="auto"/>
                <w:lang w:val="en-US" w:eastAsia="zh-CN"/>
              </w:rPr>
              <w:t>1.0mg/kg。19.黄曲霉毒素B</w:t>
            </w:r>
            <w:r>
              <w:rPr>
                <w:rFonts w:hint="eastAsia" w:ascii="仿宋" w:hAnsi="仿宋" w:eastAsia="仿宋" w:cs="仿宋"/>
                <w:i w:val="0"/>
                <w:caps w:val="0"/>
                <w:color w:val="auto"/>
                <w:spacing w:val="0"/>
                <w:sz w:val="24"/>
                <w:szCs w:val="24"/>
                <w:shd w:val="clear" w:color="auto" w:fill="auto"/>
                <w:vertAlign w:val="subscript"/>
                <w:lang w:val="en-US" w:eastAsia="zh-CN"/>
              </w:rPr>
              <w:t>1</w:t>
            </w:r>
            <w:r>
              <w:rPr>
                <w:rFonts w:hint="eastAsia" w:ascii="仿宋" w:hAnsi="仿宋" w:eastAsia="仿宋" w:cs="仿宋"/>
                <w:i w:val="0"/>
                <w:caps w:val="0"/>
                <w:color w:val="auto"/>
                <w:spacing w:val="0"/>
                <w:sz w:val="24"/>
                <w:szCs w:val="24"/>
                <w:shd w:val="clear" w:color="auto" w:fill="auto"/>
                <w:lang w:eastAsia="zh-CN"/>
              </w:rPr>
              <w:t>≤</w:t>
            </w:r>
            <w:r>
              <w:rPr>
                <w:rFonts w:hint="eastAsia" w:ascii="仿宋" w:hAnsi="仿宋" w:eastAsia="仿宋" w:cs="仿宋"/>
                <w:i w:val="0"/>
                <w:caps w:val="0"/>
                <w:color w:val="auto"/>
                <w:spacing w:val="0"/>
                <w:sz w:val="24"/>
                <w:szCs w:val="24"/>
                <w:shd w:val="clear" w:color="auto" w:fill="auto"/>
                <w:lang w:val="en-US" w:eastAsia="zh-CN"/>
              </w:rPr>
              <w:t>10</w:t>
            </w:r>
            <w:r>
              <w:rPr>
                <w:rFonts w:hint="eastAsia" w:ascii="仿宋" w:hAnsi="仿宋" w:eastAsia="仿宋" w:cs="仿宋"/>
                <w:color w:val="auto"/>
                <w:sz w:val="24"/>
                <w:szCs w:val="24"/>
              </w:rPr>
              <w:t>μg/kg</w:t>
            </w:r>
            <w:r>
              <w:rPr>
                <w:rFonts w:hint="eastAsia" w:ascii="仿宋" w:hAnsi="仿宋" w:cs="仿宋"/>
                <w:color w:val="auto"/>
                <w:sz w:val="24"/>
                <w:szCs w:val="24"/>
                <w:lang w:eastAsia="zh-CN"/>
              </w:rPr>
              <w:t>。</w:t>
            </w:r>
            <w:r>
              <w:rPr>
                <w:rFonts w:hint="eastAsia" w:ascii="仿宋" w:hAnsi="仿宋" w:cs="仿宋"/>
                <w:color w:val="auto"/>
                <w:sz w:val="24"/>
                <w:szCs w:val="24"/>
                <w:lang w:val="en-US" w:eastAsia="zh-CN"/>
              </w:rPr>
              <w:t>20.霉变粒</w:t>
            </w:r>
            <w:r>
              <w:rPr>
                <w:rFonts w:hint="eastAsia" w:ascii="仿宋" w:hAnsi="仿宋" w:eastAsia="仿宋" w:cs="仿宋"/>
                <w:i w:val="0"/>
                <w:caps w:val="0"/>
                <w:color w:val="auto"/>
                <w:spacing w:val="0"/>
                <w:sz w:val="24"/>
                <w:szCs w:val="24"/>
                <w:shd w:val="clear" w:color="auto" w:fill="auto"/>
                <w:lang w:eastAsia="zh-CN"/>
              </w:rPr>
              <w:t>≤</w:t>
            </w:r>
            <w:r>
              <w:rPr>
                <w:rFonts w:hint="eastAsia" w:ascii="仿宋" w:hAnsi="仿宋" w:eastAsia="仿宋" w:cs="仿宋"/>
                <w:i w:val="0"/>
                <w:caps w:val="0"/>
                <w:color w:val="auto"/>
                <w:spacing w:val="0"/>
                <w:sz w:val="24"/>
                <w:szCs w:val="24"/>
                <w:shd w:val="clear" w:color="auto" w:fill="auto"/>
                <w:lang w:val="en-US" w:eastAsia="zh-CN"/>
              </w:rPr>
              <w:t>2</w:t>
            </w:r>
            <w:r>
              <w:rPr>
                <w:rFonts w:hint="eastAsia" w:ascii="仿宋" w:hAnsi="仿宋" w:eastAsia="仿宋" w:cs="仿宋"/>
                <w:i w:val="0"/>
                <w:caps w:val="0"/>
                <w:color w:val="auto"/>
                <w:spacing w:val="0"/>
                <w:sz w:val="24"/>
                <w:szCs w:val="24"/>
                <w:highlight w:val="none"/>
                <w:shd w:val="clear" w:color="auto" w:fill="auto"/>
                <w:lang w:val="en-US" w:eastAsia="zh-CN"/>
              </w:rPr>
              <w:t>.0</w:t>
            </w:r>
            <w:r>
              <w:rPr>
                <w:rFonts w:hint="eastAsia" w:ascii="仿宋" w:hAnsi="仿宋" w:eastAsia="仿宋" w:cs="仿宋"/>
                <w:i w:val="0"/>
                <w:caps w:val="0"/>
                <w:color w:val="auto"/>
                <w:spacing w:val="0"/>
                <w:sz w:val="24"/>
                <w:szCs w:val="24"/>
                <w:highlight w:val="none"/>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i w:val="0"/>
                <w:caps w:val="0"/>
                <w:color w:val="auto"/>
                <w:spacing w:val="0"/>
                <w:sz w:val="24"/>
                <w:szCs w:val="24"/>
                <w:highlight w:val="none"/>
                <w:shd w:val="clear" w:color="auto" w:fill="auto"/>
                <w:lang w:eastAsia="zh-CN"/>
              </w:rPr>
            </w:pPr>
            <w:r>
              <w:rPr>
                <w:rFonts w:hint="eastAsia" w:ascii="宋体" w:hAnsi="宋体" w:eastAsia="宋体" w:cs="宋体"/>
                <w:b/>
                <w:bCs/>
                <w:sz w:val="24"/>
                <w:szCs w:val="24"/>
                <w:lang w:eastAsia="zh-CN"/>
              </w:rPr>
              <w:t>注：依据上述国家标准进行质量检测，并各项指标检验符合规定，投标人投标时提供所投产品生产厂家委托有资质的第三方检测机构出具的全项检验合格报告（近一年内的）复印件并加盖生产厂家鲜章，检验报告必须包含但不限于上述参数要求的指标项，如不提供、提供的检测报告各项指标检验不符合规定或少于上述指标项参数要求的，视为无效投标。</w:t>
            </w:r>
          </w:p>
        </w:tc>
        <w:tc>
          <w:tcPr>
            <w:tcW w:w="8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i w:val="0"/>
                <w:caps w:val="0"/>
                <w:color w:val="auto"/>
                <w:spacing w:val="0"/>
                <w:sz w:val="24"/>
                <w:szCs w:val="24"/>
                <w:highlight w:val="none"/>
                <w:shd w:val="clear" w:color="auto" w:fill="auto"/>
                <w:lang w:val="en-US" w:eastAsia="zh-CN"/>
              </w:rPr>
            </w:pPr>
            <w:r>
              <w:rPr>
                <w:rFonts w:hint="eastAsia" w:ascii="宋体" w:hAnsi="宋体" w:cs="宋体"/>
                <w:i w:val="0"/>
                <w:caps w:val="0"/>
                <w:color w:val="auto"/>
                <w:spacing w:val="0"/>
                <w:sz w:val="24"/>
                <w:szCs w:val="24"/>
                <w:highlight w:val="none"/>
                <w:shd w:val="clear" w:color="auto" w:fill="auto"/>
                <w:lang w:val="en-US" w:eastAsia="zh-CN"/>
              </w:rPr>
              <w:t>25kg/袋</w:t>
            </w:r>
          </w:p>
        </w:tc>
        <w:tc>
          <w:tcPr>
            <w:tcW w:w="948" w:type="dxa"/>
            <w:noWrap w:val="0"/>
            <w:vAlign w:val="center"/>
          </w:tcPr>
          <w:p>
            <w:pPr>
              <w:pStyle w:val="54"/>
              <w:spacing w:before="5" w:line="242" w:lineRule="auto"/>
              <w:ind w:left="106" w:leftChars="0" w:right="164" w:rightChars="0"/>
              <w:jc w:val="center"/>
              <w:rPr>
                <w:rFonts w:hint="eastAsia" w:ascii="仿宋" w:hAnsi="仿宋" w:eastAsia="仿宋" w:cs="仿宋"/>
                <w:sz w:val="24"/>
                <w:szCs w:val="24"/>
              </w:rPr>
            </w:pPr>
            <w:r>
              <w:rPr>
                <w:rFonts w:hint="eastAsia" w:ascii="仿宋" w:hAnsi="仿宋" w:eastAsia="仿宋" w:cs="仿宋"/>
                <w:sz w:val="24"/>
                <w:szCs w:val="24"/>
              </w:rPr>
              <w:t>以实际采购量为准</w:t>
            </w:r>
          </w:p>
        </w:tc>
        <w:tc>
          <w:tcPr>
            <w:tcW w:w="900" w:type="dxa"/>
            <w:noWrap w:val="0"/>
            <w:vAlign w:val="center"/>
          </w:tcPr>
          <w:p>
            <w:pPr>
              <w:pStyle w:val="54"/>
              <w:spacing w:before="5"/>
              <w:ind w:left="212"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2.6</w:t>
            </w:r>
            <w:r>
              <w:rPr>
                <w:rFonts w:hint="eastAsia" w:ascii="仿宋" w:hAnsi="仿宋" w:eastAsia="仿宋" w:cs="仿宋"/>
                <w:sz w:val="24"/>
                <w:szCs w:val="24"/>
              </w:rPr>
              <w:t>元/斤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7" w:hRule="atLeast"/>
        </w:trPr>
        <w:tc>
          <w:tcPr>
            <w:tcW w:w="666" w:type="dxa"/>
            <w:noWrap w:val="0"/>
            <w:vAlign w:val="center"/>
          </w:tcPr>
          <w:p>
            <w:pPr>
              <w:pStyle w:val="54"/>
              <w:jc w:val="center"/>
              <w:rPr>
                <w:rFonts w:hint="eastAsia" w:ascii="仿宋" w:hAnsi="仿宋" w:eastAsia="仿宋" w:cs="仿宋"/>
                <w:sz w:val="24"/>
                <w:szCs w:val="24"/>
              </w:rPr>
            </w:pPr>
            <w:r>
              <w:rPr>
                <w:rFonts w:hint="eastAsia" w:ascii="仿宋" w:hAnsi="仿宋" w:eastAsia="仿宋" w:cs="仿宋"/>
                <w:sz w:val="24"/>
                <w:szCs w:val="24"/>
                <w:lang w:eastAsia="zh-CN"/>
              </w:rPr>
              <w:t>大豆</w:t>
            </w:r>
            <w:r>
              <w:rPr>
                <w:rFonts w:hint="eastAsia" w:ascii="仿宋" w:hAnsi="仿宋" w:eastAsia="仿宋" w:cs="仿宋"/>
                <w:sz w:val="24"/>
                <w:szCs w:val="24"/>
              </w:rPr>
              <w:t>油</w:t>
            </w:r>
          </w:p>
        </w:tc>
        <w:tc>
          <w:tcPr>
            <w:tcW w:w="6240" w:type="dxa"/>
            <w:noWrap w:val="0"/>
            <w:vAlign w:val="top"/>
          </w:tcPr>
          <w:p>
            <w:pPr>
              <w:jc w:val="left"/>
              <w:rPr>
                <w:rFonts w:hint="eastAsia" w:ascii="仿宋" w:hAnsi="仿宋" w:eastAsia="仿宋" w:cs="仿宋"/>
                <w:i w:val="0"/>
                <w:caps w:val="0"/>
                <w:color w:val="auto"/>
                <w:spacing w:val="0"/>
                <w:sz w:val="24"/>
                <w:szCs w:val="24"/>
                <w:shd w:val="clear" w:color="auto" w:fill="auto"/>
                <w:lang w:val="en-US" w:eastAsia="zh-CN"/>
              </w:rPr>
            </w:pPr>
            <w:r>
              <w:rPr>
                <w:rFonts w:hint="eastAsia" w:ascii="仿宋" w:hAnsi="仿宋" w:eastAsia="仿宋" w:cs="仿宋"/>
                <w:i w:val="0"/>
                <w:caps w:val="0"/>
                <w:color w:val="auto"/>
                <w:spacing w:val="0"/>
                <w:sz w:val="24"/>
                <w:szCs w:val="24"/>
                <w:shd w:val="clear" w:color="auto" w:fill="auto"/>
                <w:lang w:val="en-US" w:eastAsia="zh-CN"/>
              </w:rPr>
              <w:t>大豆油质量、卫生和检验按照国家GB/T 1535-2017、GB2716、GB2760、GB2761-2017、 GB2762-2017 、GB2763—2021等相关标准的最新标准执行。</w:t>
            </w:r>
          </w:p>
          <w:p>
            <w:pPr>
              <w:jc w:val="left"/>
              <w:rPr>
                <w:rFonts w:hint="eastAsia" w:ascii="仿宋" w:hAnsi="仿宋" w:eastAsia="仿宋" w:cs="仿宋"/>
                <w:i w:val="0"/>
                <w:caps w:val="0"/>
                <w:color w:val="auto"/>
                <w:spacing w:val="0"/>
                <w:sz w:val="24"/>
                <w:szCs w:val="24"/>
                <w:shd w:val="clear" w:color="auto" w:fill="auto"/>
                <w:vertAlign w:val="baseline"/>
                <w:lang w:val="en-US" w:eastAsia="zh-CN"/>
              </w:rPr>
            </w:pPr>
            <w:r>
              <w:rPr>
                <w:rFonts w:hint="eastAsia" w:ascii="仿宋" w:hAnsi="仿宋" w:cs="仿宋"/>
                <w:i w:val="0"/>
                <w:caps w:val="0"/>
                <w:color w:val="auto"/>
                <w:spacing w:val="0"/>
                <w:sz w:val="24"/>
                <w:szCs w:val="24"/>
                <w:shd w:val="clear" w:color="auto" w:fill="auto"/>
                <w:lang w:val="en-US" w:eastAsia="zh-CN"/>
              </w:rPr>
              <w:t>等级：</w:t>
            </w:r>
            <w:r>
              <w:rPr>
                <w:rFonts w:hint="eastAsia" w:ascii="仿宋" w:hAnsi="仿宋" w:eastAsia="仿宋" w:cs="仿宋"/>
                <w:i w:val="0"/>
                <w:caps w:val="0"/>
                <w:color w:val="auto"/>
                <w:spacing w:val="0"/>
                <w:sz w:val="24"/>
                <w:szCs w:val="24"/>
                <w:shd w:val="clear" w:color="auto" w:fill="auto"/>
                <w:lang w:val="en-US" w:eastAsia="zh-CN"/>
              </w:rPr>
              <w:t>一级成品大豆油</w:t>
            </w:r>
            <w:r>
              <w:rPr>
                <w:rFonts w:hint="eastAsia" w:ascii="仿宋" w:hAnsi="仿宋" w:cs="仿宋"/>
                <w:i w:val="0"/>
                <w:caps w:val="0"/>
                <w:color w:val="auto"/>
                <w:spacing w:val="0"/>
                <w:sz w:val="24"/>
                <w:szCs w:val="24"/>
                <w:shd w:val="clear" w:color="auto" w:fill="auto"/>
                <w:lang w:val="en-US" w:eastAsia="zh-CN"/>
              </w:rPr>
              <w:t>。</w:t>
            </w:r>
            <w:r>
              <w:rPr>
                <w:rFonts w:hint="eastAsia" w:ascii="仿宋" w:hAnsi="仿宋" w:eastAsia="仿宋" w:cs="仿宋"/>
                <w:i w:val="0"/>
                <w:caps w:val="0"/>
                <w:color w:val="auto"/>
                <w:spacing w:val="0"/>
                <w:sz w:val="24"/>
                <w:szCs w:val="24"/>
                <w:shd w:val="clear" w:color="auto" w:fill="auto"/>
                <w:lang w:val="en-US" w:eastAsia="zh-CN"/>
              </w:rPr>
              <w:t>1.</w:t>
            </w:r>
            <w:r>
              <w:rPr>
                <w:rFonts w:hint="eastAsia" w:ascii="仿宋" w:hAnsi="仿宋" w:eastAsia="仿宋" w:cs="仿宋"/>
                <w:i w:val="0"/>
                <w:caps w:val="0"/>
                <w:color w:val="auto"/>
                <w:spacing w:val="0"/>
                <w:sz w:val="24"/>
                <w:szCs w:val="24"/>
                <w:shd w:val="clear" w:color="auto" w:fill="auto"/>
                <w:lang w:eastAsia="zh-CN"/>
              </w:rPr>
              <w:t>色泽：</w:t>
            </w:r>
            <w:r>
              <w:rPr>
                <w:rFonts w:hint="eastAsia" w:ascii="仿宋" w:hAnsi="仿宋" w:eastAsia="仿宋" w:cs="仿宋"/>
                <w:i w:val="0"/>
                <w:caps w:val="0"/>
                <w:color w:val="auto"/>
                <w:spacing w:val="0"/>
                <w:sz w:val="24"/>
                <w:szCs w:val="24"/>
                <w:shd w:val="clear" w:color="auto" w:fill="auto"/>
                <w:lang w:val="en-US" w:eastAsia="zh-CN"/>
              </w:rPr>
              <w:t>淡黄色至浅黄色。2.透明度（20℃）：澄清、透明。3</w:t>
            </w:r>
            <w:r>
              <w:rPr>
                <w:rFonts w:hint="eastAsia" w:ascii="仿宋" w:hAnsi="仿宋" w:eastAsia="仿宋" w:cs="仿宋"/>
                <w:i w:val="0"/>
                <w:caps w:val="0"/>
                <w:color w:val="auto"/>
                <w:spacing w:val="0"/>
                <w:sz w:val="24"/>
                <w:szCs w:val="24"/>
                <w:shd w:val="clear" w:color="auto" w:fill="auto"/>
                <w:lang w:eastAsia="zh-CN"/>
              </w:rPr>
              <w:t>气味、</w:t>
            </w:r>
            <w:r>
              <w:rPr>
                <w:rFonts w:hint="eastAsia" w:ascii="仿宋" w:hAnsi="仿宋" w:eastAsia="仿宋" w:cs="仿宋"/>
                <w:i w:val="0"/>
                <w:caps w:val="0"/>
                <w:color w:val="auto"/>
                <w:spacing w:val="0"/>
                <w:sz w:val="24"/>
                <w:szCs w:val="24"/>
                <w:shd w:val="clear" w:color="auto" w:fill="auto"/>
                <w:lang w:val="en-US" w:eastAsia="zh-CN"/>
              </w:rPr>
              <w:t>滋味</w:t>
            </w:r>
            <w:r>
              <w:rPr>
                <w:rFonts w:hint="eastAsia" w:ascii="仿宋" w:hAnsi="仿宋" w:eastAsia="仿宋" w:cs="仿宋"/>
                <w:i w:val="0"/>
                <w:caps w:val="0"/>
                <w:color w:val="auto"/>
                <w:spacing w:val="0"/>
                <w:sz w:val="24"/>
                <w:szCs w:val="24"/>
                <w:shd w:val="clear" w:color="auto" w:fill="auto"/>
                <w:lang w:eastAsia="zh-CN"/>
              </w:rPr>
              <w:t>：</w:t>
            </w:r>
            <w:r>
              <w:rPr>
                <w:rFonts w:hint="eastAsia" w:ascii="仿宋" w:hAnsi="仿宋" w:eastAsia="仿宋" w:cs="仿宋"/>
                <w:i w:val="0"/>
                <w:caps w:val="0"/>
                <w:color w:val="auto"/>
                <w:spacing w:val="0"/>
                <w:sz w:val="24"/>
                <w:szCs w:val="24"/>
                <w:shd w:val="clear" w:color="auto" w:fill="auto"/>
                <w:lang w:val="en-US" w:eastAsia="zh-CN"/>
              </w:rPr>
              <w:t>无异味，口感好。4.脂肪酸组成：</w:t>
            </w:r>
            <w:r>
              <w:rPr>
                <w:rFonts w:hint="eastAsia" w:ascii="仿宋" w:hAnsi="仿宋" w:eastAsia="仿宋" w:cs="仿宋"/>
                <w:color w:val="auto"/>
                <w:sz w:val="24"/>
                <w:szCs w:val="24"/>
              </w:rPr>
              <w:t>月桂酸C12:0≤0.1%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豆蔻酸C14:0≤0.2%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棕榈酸C16:0(8.0-13.5)%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棕榈油酸C16:1≤0.2%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十七烷酸C17:0≤0.1%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十七碳</w:t>
            </w:r>
            <w:r>
              <w:rPr>
                <w:rFonts w:hint="eastAsia" w:ascii="仿宋" w:hAnsi="仿宋" w:eastAsia="仿宋" w:cs="仿宋"/>
                <w:color w:val="auto"/>
                <w:sz w:val="24"/>
                <w:szCs w:val="24"/>
                <w:lang w:eastAsia="zh-CN"/>
              </w:rPr>
              <w:t>一</w:t>
            </w:r>
            <w:r>
              <w:rPr>
                <w:rFonts w:hint="eastAsia" w:ascii="仿宋" w:hAnsi="仿宋" w:eastAsia="仿宋" w:cs="仿宋"/>
                <w:color w:val="auto"/>
                <w:sz w:val="24"/>
                <w:szCs w:val="24"/>
              </w:rPr>
              <w:t>烯酸≤0.1%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硬脂酸C18:0(2.0-5.4)%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油酸C18:1(17.0-30.0)%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亚油酸C18:2(48.0-59.0)%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亚麻酸C18:3(4.2-11.0)%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花生酸C20:0(0.1-0.6)%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rPr>
              <w:t>花生一烯酸C20:</w:t>
            </w:r>
            <w:r>
              <w:rPr>
                <w:rFonts w:hint="eastAsia" w:ascii="仿宋" w:hAnsi="仿宋" w:cs="仿宋"/>
                <w:color w:val="auto"/>
                <w:sz w:val="24"/>
                <w:szCs w:val="24"/>
                <w:lang w:val="en-US" w:eastAsia="zh-CN"/>
              </w:rPr>
              <w:t>1</w:t>
            </w:r>
            <w:r>
              <w:rPr>
                <w:rFonts w:hint="eastAsia" w:ascii="仿宋" w:hAnsi="仿宋" w:eastAsia="仿宋" w:cs="仿宋"/>
                <w:color w:val="auto"/>
                <w:sz w:val="24"/>
                <w:szCs w:val="24"/>
              </w:rPr>
              <w:t>≤0.5%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花生二烯酸C20:</w:t>
            </w:r>
            <w:r>
              <w:rPr>
                <w:rFonts w:hint="eastAsia" w:ascii="仿宋" w:hAnsi="仿宋" w:cs="仿宋"/>
                <w:color w:val="auto"/>
                <w:sz w:val="24"/>
                <w:szCs w:val="24"/>
                <w:lang w:val="en-US" w:eastAsia="zh-CN"/>
              </w:rPr>
              <w:t>2</w:t>
            </w:r>
            <w:r>
              <w:rPr>
                <w:rFonts w:hint="eastAsia" w:ascii="仿宋" w:hAnsi="仿宋" w:eastAsia="仿宋" w:cs="仿宋"/>
                <w:color w:val="auto"/>
                <w:sz w:val="24"/>
                <w:szCs w:val="24"/>
              </w:rPr>
              <w:t>≤0.1%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山嵛酸C22:0≤0.7%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芥酸C22:1≤0.3%木焦油酸C24:0≤0.5%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相对密度</w:t>
            </w:r>
            <w:r>
              <w:rPr>
                <w:rFonts w:hint="eastAsia" w:ascii="仿宋" w:hAnsi="仿宋" w:eastAsia="仿宋" w:cs="仿宋"/>
                <w:color w:val="auto"/>
                <w:sz w:val="24"/>
                <w:szCs w:val="24"/>
                <w:lang w:val="en-US" w:eastAsia="zh-CN"/>
              </w:rPr>
              <w:t>d</w:t>
            </w:r>
            <w:r>
              <w:rPr>
                <w:rFonts w:hint="eastAsia" w:ascii="仿宋" w:hAnsi="仿宋" w:eastAsia="仿宋" w:cs="仿宋"/>
                <w:color w:val="auto"/>
                <w:sz w:val="24"/>
                <w:szCs w:val="24"/>
                <w:vertAlign w:val="superscript"/>
                <w:lang w:val="en-US" w:eastAsia="zh-CN"/>
              </w:rPr>
              <w:t>20</w:t>
            </w:r>
            <w:r>
              <w:rPr>
                <w:rFonts w:hint="eastAsia" w:ascii="仿宋" w:hAnsi="仿宋" w:eastAsia="仿宋" w:cs="仿宋"/>
                <w:color w:val="auto"/>
                <w:sz w:val="24"/>
                <w:szCs w:val="24"/>
                <w:vertAlign w:val="subscript"/>
                <w:lang w:val="en-US" w:eastAsia="zh-CN"/>
              </w:rPr>
              <w:t>20</w:t>
            </w:r>
            <w:r>
              <w:rPr>
                <w:rFonts w:hint="eastAsia" w:ascii="仿宋" w:hAnsi="仿宋" w:eastAsia="仿宋" w:cs="仿宋"/>
                <w:color w:val="auto"/>
                <w:sz w:val="24"/>
                <w:szCs w:val="24"/>
                <w:vertAlign w:val="baseline"/>
                <w:lang w:val="en-US" w:eastAsia="zh-CN"/>
              </w:rPr>
              <w:t>(</w:t>
            </w:r>
            <w:r>
              <w:rPr>
                <w:rFonts w:hint="eastAsia" w:ascii="仿宋" w:hAnsi="仿宋" w:eastAsia="仿宋" w:cs="仿宋"/>
                <w:color w:val="auto"/>
                <w:sz w:val="24"/>
                <w:szCs w:val="24"/>
              </w:rPr>
              <w:t>0.919~0.925</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酸价</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KOH</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≤0.50mg/g</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过氧化值≤</w:t>
            </w:r>
            <w:r>
              <w:rPr>
                <w:rFonts w:hint="eastAsia" w:ascii="仿宋" w:hAnsi="仿宋" w:eastAsia="仿宋" w:cs="仿宋"/>
                <w:color w:val="auto"/>
                <w:sz w:val="24"/>
                <w:szCs w:val="24"/>
                <w:lang w:val="en-US" w:eastAsia="zh-CN"/>
              </w:rPr>
              <w:t>5</w:t>
            </w:r>
            <w:r>
              <w:rPr>
                <w:rFonts w:hint="eastAsia" w:ascii="仿宋" w:hAnsi="仿宋" w:cs="仿宋"/>
                <w:color w:val="auto"/>
                <w:sz w:val="24"/>
                <w:szCs w:val="24"/>
                <w:lang w:val="en-US" w:eastAsia="zh-CN"/>
              </w:rPr>
              <w:t>.0</w:t>
            </w:r>
            <w:r>
              <w:rPr>
                <w:rFonts w:hint="eastAsia" w:ascii="仿宋" w:hAnsi="仿宋" w:eastAsia="仿宋" w:cs="仿宋"/>
                <w:color w:val="auto"/>
                <w:sz w:val="24"/>
                <w:szCs w:val="24"/>
                <w:lang w:val="en-US" w:eastAsia="zh-CN"/>
              </w:rPr>
              <w:t>mmol/kg</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6.水分及挥发物含量</w:t>
            </w:r>
            <w:r>
              <w:rPr>
                <w:rFonts w:hint="eastAsia" w:ascii="仿宋" w:hAnsi="仿宋" w:eastAsia="仿宋" w:cs="仿宋"/>
                <w:i w:val="0"/>
                <w:caps w:val="0"/>
                <w:color w:val="auto"/>
                <w:spacing w:val="0"/>
                <w:sz w:val="24"/>
                <w:szCs w:val="24"/>
                <w:shd w:val="clear" w:color="auto" w:fill="auto"/>
                <w:lang w:eastAsia="zh-CN"/>
              </w:rPr>
              <w:t>≤</w:t>
            </w:r>
            <w:r>
              <w:rPr>
                <w:rFonts w:hint="eastAsia" w:ascii="仿宋" w:hAnsi="仿宋" w:eastAsia="仿宋" w:cs="仿宋"/>
                <w:i w:val="0"/>
                <w:caps w:val="0"/>
                <w:color w:val="auto"/>
                <w:spacing w:val="0"/>
                <w:sz w:val="24"/>
                <w:szCs w:val="24"/>
                <w:shd w:val="clear" w:color="auto" w:fill="auto"/>
                <w:lang w:val="en-US" w:eastAsia="zh-CN"/>
              </w:rPr>
              <w:t>0.1</w:t>
            </w:r>
            <w:r>
              <w:rPr>
                <w:rFonts w:hint="eastAsia" w:ascii="仿宋" w:hAnsi="仿宋" w:cs="仿宋"/>
                <w:i w:val="0"/>
                <w:caps w:val="0"/>
                <w:color w:val="auto"/>
                <w:spacing w:val="0"/>
                <w:sz w:val="24"/>
                <w:szCs w:val="24"/>
                <w:shd w:val="clear" w:color="auto" w:fill="auto"/>
                <w:lang w:val="en-US" w:eastAsia="zh-CN"/>
              </w:rPr>
              <w:t>0</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7.不溶性杂质含量</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0.05</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8.冷冻试验（0℃储藏5.5h）:澄清、透明。9.烟点</w:t>
            </w:r>
            <w:r>
              <w:rPr>
                <w:rFonts w:hint="eastAsia" w:ascii="仿宋" w:hAnsi="仿宋" w:eastAsia="仿宋" w:cs="仿宋"/>
                <w:b w:val="0"/>
                <w:bCs w:val="0"/>
                <w:color w:val="auto"/>
                <w:kern w:val="0"/>
                <w:sz w:val="24"/>
                <w:szCs w:val="24"/>
                <w:lang w:val="en-US" w:eastAsia="zh-CN"/>
              </w:rPr>
              <w:t>≥190℃.</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溶剂残留量</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不得检出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黄曲霉毒素B1≤5.0μg/kg</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苯并(a)芘≤</w:t>
            </w:r>
            <w:r>
              <w:rPr>
                <w:rFonts w:hint="eastAsia" w:ascii="仿宋" w:hAnsi="仿宋" w:cs="仿宋"/>
                <w:color w:val="auto"/>
                <w:sz w:val="24"/>
                <w:szCs w:val="24"/>
                <w:lang w:val="en-US" w:eastAsia="zh-CN"/>
              </w:rPr>
              <w:t>10</w:t>
            </w:r>
            <w:r>
              <w:rPr>
                <w:rFonts w:hint="eastAsia" w:ascii="仿宋" w:hAnsi="仿宋" w:eastAsia="仿宋" w:cs="仿宋"/>
                <w:color w:val="auto"/>
                <w:sz w:val="24"/>
                <w:szCs w:val="24"/>
              </w:rPr>
              <w:t>.0ug/kg</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rPr>
              <w:t>总砷(以As计)≤0.1mg/kg</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14.</w:t>
            </w:r>
            <w:r>
              <w:rPr>
                <w:rFonts w:hint="eastAsia" w:ascii="仿宋" w:hAnsi="仿宋" w:eastAsia="仿宋" w:cs="仿宋"/>
                <w:color w:val="auto"/>
                <w:sz w:val="24"/>
                <w:szCs w:val="24"/>
              </w:rPr>
              <w:t>铅(以Pb计)≤0.1mg/kg</w:t>
            </w:r>
            <w:r>
              <w:rPr>
                <w:rFonts w:hint="eastAsia" w:ascii="仿宋" w:hAnsi="仿宋" w:eastAsia="仿宋" w:cs="仿宋"/>
                <w:color w:val="auto"/>
                <w:sz w:val="24"/>
                <w:szCs w:val="24"/>
                <w:lang w:val="en-US" w:eastAsia="zh-CN"/>
              </w:rPr>
              <w:t>.</w:t>
            </w:r>
          </w:p>
          <w:p>
            <w:pPr>
              <w:jc w:val="left"/>
              <w:rPr>
                <w:rFonts w:hint="eastAsia" w:ascii="仿宋" w:hAnsi="仿宋" w:eastAsia="仿宋" w:cs="仿宋"/>
                <w:b/>
                <w:bCs/>
                <w:sz w:val="24"/>
                <w:szCs w:val="24"/>
              </w:rPr>
            </w:pPr>
            <w:r>
              <w:rPr>
                <w:rFonts w:hint="eastAsia" w:ascii="宋体" w:hAnsi="宋体" w:eastAsia="宋体" w:cs="宋体"/>
                <w:b/>
                <w:bCs/>
                <w:sz w:val="24"/>
                <w:szCs w:val="24"/>
                <w:lang w:eastAsia="zh-CN"/>
              </w:rPr>
              <w:t>注：依据上述国家标准进行质量检测，并各项指标检验符合规定，投标人投标时提供所投产品生产厂家委托有资质的第三方检测机构出具的全项检验合格报告（近一年内的）复印件并加盖生产厂家鲜章，检验报告必须包含但不限于上述参数要求的指标项，如不提供、提供的检测报告各项指标检验不符合规定或少于上述指标项参数要求的，视为无效投标。</w:t>
            </w:r>
          </w:p>
        </w:tc>
        <w:tc>
          <w:tcPr>
            <w:tcW w:w="852" w:type="dxa"/>
            <w:noWrap w:val="0"/>
            <w:vAlign w:val="center"/>
          </w:tcPr>
          <w:p>
            <w:pPr>
              <w:pStyle w:val="54"/>
              <w:spacing w:line="242" w:lineRule="auto"/>
              <w:ind w:left="106" w:leftChars="0" w:right="164" w:rightChars="0"/>
              <w:jc w:val="center"/>
              <w:rPr>
                <w:rFonts w:hint="eastAsia" w:ascii="仿宋" w:hAnsi="仿宋" w:eastAsia="仿宋" w:cs="仿宋"/>
                <w:sz w:val="24"/>
                <w:szCs w:val="24"/>
                <w:lang w:val="en-US" w:eastAsia="zh-CN"/>
              </w:rPr>
            </w:pPr>
            <w:r>
              <w:rPr>
                <w:rFonts w:hint="eastAsia" w:ascii="仿宋" w:hAnsi="仿宋" w:eastAsia="仿宋" w:cs="仿宋"/>
                <w:sz w:val="24"/>
                <w:szCs w:val="24"/>
              </w:rPr>
              <w:t>5升</w:t>
            </w:r>
            <w:r>
              <w:rPr>
                <w:rFonts w:hint="eastAsia" w:ascii="仿宋" w:hAnsi="仿宋" w:eastAsia="仿宋" w:cs="仿宋"/>
                <w:sz w:val="24"/>
                <w:szCs w:val="24"/>
                <w:lang w:val="en-US" w:eastAsia="zh-CN"/>
              </w:rPr>
              <w:t>/桶</w:t>
            </w:r>
          </w:p>
        </w:tc>
        <w:tc>
          <w:tcPr>
            <w:tcW w:w="948" w:type="dxa"/>
            <w:noWrap w:val="0"/>
            <w:vAlign w:val="center"/>
          </w:tcPr>
          <w:p>
            <w:pPr>
              <w:pStyle w:val="54"/>
              <w:spacing w:line="242" w:lineRule="auto"/>
              <w:ind w:left="106" w:leftChars="0" w:right="164" w:rightChars="0"/>
              <w:jc w:val="center"/>
              <w:rPr>
                <w:rFonts w:hint="eastAsia" w:ascii="仿宋" w:hAnsi="仿宋" w:eastAsia="仿宋" w:cs="仿宋"/>
                <w:sz w:val="24"/>
                <w:szCs w:val="24"/>
              </w:rPr>
            </w:pPr>
            <w:r>
              <w:rPr>
                <w:rFonts w:hint="eastAsia" w:ascii="仿宋" w:hAnsi="仿宋" w:eastAsia="仿宋" w:cs="仿宋"/>
                <w:sz w:val="24"/>
                <w:szCs w:val="24"/>
              </w:rPr>
              <w:t>以实际采购量为准</w:t>
            </w:r>
          </w:p>
        </w:tc>
        <w:tc>
          <w:tcPr>
            <w:tcW w:w="900" w:type="dxa"/>
            <w:noWrap w:val="0"/>
            <w:vAlign w:val="center"/>
          </w:tcPr>
          <w:p>
            <w:pPr>
              <w:pStyle w:val="54"/>
              <w:ind w:left="106" w:lef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r>
              <w:rPr>
                <w:rFonts w:hint="eastAsia" w:ascii="仿宋" w:hAnsi="仿宋" w:eastAsia="仿宋" w:cs="仿宋"/>
                <w:sz w:val="24"/>
                <w:szCs w:val="24"/>
              </w:rPr>
              <w:t>元/</w:t>
            </w:r>
            <w:r>
              <w:rPr>
                <w:rFonts w:hint="eastAsia" w:ascii="仿宋" w:hAnsi="仿宋" w:eastAsia="仿宋" w:cs="仿宋"/>
                <w:sz w:val="24"/>
                <w:szCs w:val="24"/>
                <w:lang w:val="en-US" w:eastAsia="zh-CN"/>
              </w:rPr>
              <w:t>L</w:t>
            </w:r>
          </w:p>
        </w:tc>
      </w:tr>
    </w:tbl>
    <w:p>
      <w:pPr>
        <w:pStyle w:val="41"/>
        <w:rPr>
          <w:rFonts w:hint="eastAsia"/>
        </w:rPr>
      </w:pPr>
    </w:p>
    <w:p>
      <w:pPr>
        <w:spacing w:line="360" w:lineRule="auto"/>
        <w:outlineLvl w:val="0"/>
        <w:rPr>
          <w:rFonts w:hint="eastAsia" w:ascii="仿宋" w:hAnsi="仿宋" w:eastAsia="仿宋" w:cs="仿宋"/>
          <w:b w:val="0"/>
          <w:bCs w:val="0"/>
          <w:color w:val="auto"/>
          <w:sz w:val="24"/>
          <w:szCs w:val="24"/>
        </w:rPr>
      </w:pPr>
      <w:r>
        <w:rPr>
          <w:rFonts w:hint="eastAsia" w:ascii="宋体" w:hAnsi="宋体"/>
          <w:b/>
          <w:bCs/>
          <w:color w:val="000000"/>
          <w:sz w:val="24"/>
        </w:rPr>
        <w:t>二、其他相关要求：</w:t>
      </w:r>
    </w:p>
    <w:bookmarkEnd w:id="133"/>
    <w:p>
      <w:pPr>
        <w:widowControl/>
        <w:adjustRightInd w:val="0"/>
        <w:snapToGrid w:val="0"/>
        <w:spacing w:line="360" w:lineRule="auto"/>
        <w:ind w:firstLine="480" w:firstLineChars="200"/>
        <w:jc w:val="left"/>
        <w:rPr>
          <w:rFonts w:hint="eastAsia" w:ascii="仿宋" w:hAnsi="仿宋" w:eastAsia="仿宋" w:cs="仿宋"/>
          <w:color w:val="000000"/>
          <w:kern w:val="0"/>
          <w:sz w:val="24"/>
          <w:szCs w:val="24"/>
        </w:rPr>
      </w:pPr>
      <w:bookmarkStart w:id="134" w:name="_Toc17433_WPSOffice_Level2"/>
      <w:r>
        <w:rPr>
          <w:rFonts w:hint="eastAsia" w:ascii="仿宋" w:hAnsi="仿宋" w:eastAsia="仿宋" w:cs="仿宋"/>
          <w:color w:val="000000"/>
          <w:sz w:val="24"/>
          <w:szCs w:val="24"/>
          <w:shd w:val="clear" w:color="auto" w:fill="FFFFFF"/>
        </w:rPr>
        <w:t>1、</w:t>
      </w:r>
      <w:r>
        <w:rPr>
          <w:rFonts w:hint="eastAsia" w:ascii="仿宋" w:hAnsi="仿宋" w:cs="仿宋"/>
          <w:color w:val="000000"/>
          <w:sz w:val="24"/>
          <w:szCs w:val="24"/>
          <w:shd w:val="clear" w:color="auto" w:fill="FFFFFF"/>
          <w:lang w:eastAsia="zh-CN"/>
        </w:rPr>
        <w:t>所投货物</w:t>
      </w:r>
      <w:r>
        <w:rPr>
          <w:rFonts w:hint="eastAsia" w:ascii="仿宋" w:hAnsi="仿宋" w:eastAsia="仿宋" w:cs="仿宋"/>
          <w:color w:val="000000"/>
          <w:kern w:val="0"/>
          <w:sz w:val="24"/>
          <w:szCs w:val="24"/>
        </w:rPr>
        <w:t>包装所用材料应符合国家有关卫生标准的规定和要求，大米的包装袋应坚固结实，封口或者缝口应严密，食用油的包装容器必须专用、清洁、干燥和密封，净重量与标注重量相符。标签标识应符合国家的规定及要求。</w:t>
      </w:r>
    </w:p>
    <w:p>
      <w:pPr>
        <w:spacing w:line="360" w:lineRule="auto"/>
        <w:ind w:firstLine="480" w:firstLineChars="200"/>
        <w:rPr>
          <w:rFonts w:hint="eastAsia" w:ascii="仿宋" w:hAnsi="仿宋"/>
          <w:color w:val="000000"/>
          <w:sz w:val="24"/>
          <w:szCs w:val="24"/>
          <w:shd w:val="clear" w:color="auto" w:fill="FFFFFF"/>
        </w:rPr>
      </w:pPr>
      <w:r>
        <w:rPr>
          <w:rFonts w:hint="eastAsia" w:ascii="仿宋" w:hAnsi="仿宋"/>
          <w:bCs/>
          <w:color w:val="000000"/>
          <w:kern w:val="0"/>
          <w:sz w:val="24"/>
          <w:szCs w:val="24"/>
          <w:lang w:val="en-US" w:eastAsia="zh-CN"/>
        </w:rPr>
        <w:t>2</w:t>
      </w:r>
      <w:r>
        <w:rPr>
          <w:rFonts w:hint="eastAsia" w:ascii="仿宋" w:hAnsi="仿宋"/>
          <w:bCs/>
          <w:color w:val="000000"/>
          <w:kern w:val="0"/>
          <w:sz w:val="24"/>
          <w:szCs w:val="24"/>
        </w:rPr>
        <w:t>、</w:t>
      </w:r>
      <w:r>
        <w:rPr>
          <w:rFonts w:hint="eastAsia" w:ascii="仿宋" w:hAnsi="仿宋"/>
          <w:bCs/>
          <w:color w:val="000000"/>
          <w:kern w:val="0"/>
          <w:sz w:val="24"/>
          <w:szCs w:val="24"/>
          <w:lang w:eastAsia="zh-CN"/>
        </w:rPr>
        <w:t>中标人</w:t>
      </w:r>
      <w:r>
        <w:rPr>
          <w:rFonts w:hint="eastAsia" w:ascii="仿宋" w:hAnsi="仿宋"/>
          <w:bCs/>
          <w:color w:val="000000"/>
          <w:kern w:val="0"/>
          <w:sz w:val="24"/>
          <w:szCs w:val="24"/>
        </w:rPr>
        <w:t>不得对中标产品进行分装，提供的大米、豆油净含量负偏差按照国家《定量包装商品计量监督管理办法》的规定，不得缺斤少两。</w:t>
      </w:r>
      <w:r>
        <w:rPr>
          <w:rFonts w:hint="eastAsia" w:ascii="仿宋" w:hAnsi="仿宋"/>
          <w:color w:val="000000"/>
          <w:sz w:val="24"/>
          <w:szCs w:val="24"/>
          <w:shd w:val="clear" w:color="auto" w:fill="FFFFFF"/>
        </w:rPr>
        <w:t>货物</w:t>
      </w:r>
      <w:r>
        <w:rPr>
          <w:rFonts w:hint="eastAsia" w:ascii="仿宋" w:hAnsi="仿宋"/>
          <w:color w:val="000000"/>
          <w:sz w:val="24"/>
          <w:szCs w:val="24"/>
          <w:shd w:val="clear" w:color="auto" w:fill="FFFFFF"/>
          <w:lang w:eastAsia="zh-CN"/>
        </w:rPr>
        <w:t>送</w:t>
      </w:r>
      <w:r>
        <w:rPr>
          <w:rFonts w:hint="eastAsia" w:ascii="仿宋" w:hAnsi="仿宋"/>
          <w:color w:val="000000"/>
          <w:sz w:val="24"/>
          <w:szCs w:val="24"/>
          <w:shd w:val="clear" w:color="auto" w:fill="FFFFFF"/>
        </w:rPr>
        <w:t>到</w:t>
      </w:r>
      <w:r>
        <w:rPr>
          <w:rFonts w:hint="eastAsia" w:ascii="仿宋" w:hAnsi="仿宋"/>
          <w:color w:val="000000"/>
          <w:sz w:val="24"/>
          <w:szCs w:val="24"/>
        </w:rPr>
        <w:t>指定学校</w:t>
      </w:r>
      <w:r>
        <w:rPr>
          <w:rFonts w:hint="eastAsia" w:ascii="仿宋" w:hAnsi="仿宋"/>
          <w:color w:val="000000"/>
          <w:sz w:val="24"/>
          <w:szCs w:val="24"/>
          <w:shd w:val="clear" w:color="auto" w:fill="FFFFFF"/>
        </w:rPr>
        <w:t>后采取抽查方式检斤，如低于</w:t>
      </w:r>
      <w:r>
        <w:rPr>
          <w:rFonts w:hint="eastAsia" w:ascii="仿宋" w:hAnsi="仿宋"/>
          <w:color w:val="000000"/>
          <w:sz w:val="24"/>
          <w:szCs w:val="24"/>
          <w:shd w:val="clear" w:color="auto" w:fill="FFFFFF"/>
          <w:lang w:eastAsia="zh-CN"/>
        </w:rPr>
        <w:t>规定净含量</w:t>
      </w:r>
      <w:r>
        <w:rPr>
          <w:rFonts w:hint="eastAsia" w:ascii="仿宋" w:hAnsi="仿宋"/>
          <w:color w:val="000000"/>
          <w:sz w:val="24"/>
          <w:szCs w:val="24"/>
          <w:shd w:val="clear" w:color="auto" w:fill="FFFFFF"/>
        </w:rPr>
        <w:t>标准，本批次全部货物按抽查样品重量计算</w:t>
      </w:r>
      <w:r>
        <w:rPr>
          <w:rFonts w:hint="eastAsia" w:ascii="仿宋" w:hAnsi="仿宋"/>
          <w:color w:val="000000"/>
          <w:sz w:val="24"/>
          <w:szCs w:val="24"/>
          <w:shd w:val="clear" w:color="auto" w:fill="FFFFFF"/>
          <w:lang w:eastAsia="zh-CN"/>
        </w:rPr>
        <w:t>或不予接收</w:t>
      </w:r>
      <w:r>
        <w:rPr>
          <w:rFonts w:hint="eastAsia" w:ascii="仿宋" w:hAnsi="仿宋"/>
          <w:color w:val="000000"/>
          <w:sz w:val="24"/>
          <w:szCs w:val="24"/>
          <w:shd w:val="clear" w:color="auto" w:fill="FFFFFF"/>
        </w:rPr>
        <w:t>。</w:t>
      </w:r>
    </w:p>
    <w:p>
      <w:pPr>
        <w:autoSpaceDE w:val="0"/>
        <w:spacing w:line="360" w:lineRule="auto"/>
        <w:ind w:firstLine="480" w:firstLineChars="200"/>
        <w:rPr>
          <w:rFonts w:hint="eastAsia" w:ascii="仿宋" w:hAnsi="仿宋"/>
          <w:sz w:val="24"/>
          <w:szCs w:val="24"/>
        </w:rPr>
      </w:pPr>
      <w:r>
        <w:rPr>
          <w:rFonts w:hint="eastAsia" w:ascii="仿宋" w:hAnsi="仿宋"/>
          <w:sz w:val="24"/>
          <w:szCs w:val="24"/>
          <w:lang w:val="en-US" w:eastAsia="zh-CN"/>
        </w:rPr>
        <w:t>3</w:t>
      </w:r>
      <w:r>
        <w:rPr>
          <w:rFonts w:hint="eastAsia" w:ascii="仿宋" w:hAnsi="仿宋"/>
          <w:sz w:val="24"/>
          <w:szCs w:val="24"/>
        </w:rPr>
        <w:t>、供货期限：1年；2022年下半学期开学第一天起至2023年暑假放假前一日。</w:t>
      </w:r>
    </w:p>
    <w:p>
      <w:pPr>
        <w:autoSpaceDN w:val="0"/>
        <w:spacing w:line="360" w:lineRule="auto"/>
        <w:ind w:firstLine="480" w:firstLineChars="200"/>
        <w:rPr>
          <w:rFonts w:hint="eastAsia" w:ascii="仿宋" w:hAnsi="仿宋"/>
          <w:sz w:val="24"/>
          <w:szCs w:val="24"/>
        </w:rPr>
      </w:pPr>
      <w:r>
        <w:rPr>
          <w:rFonts w:hint="eastAsia" w:ascii="仿宋" w:hAnsi="仿宋"/>
          <w:sz w:val="24"/>
          <w:szCs w:val="24"/>
          <w:lang w:val="en-US" w:eastAsia="zh-CN"/>
        </w:rPr>
        <w:t>4</w:t>
      </w:r>
      <w:r>
        <w:rPr>
          <w:rFonts w:hint="eastAsia" w:ascii="仿宋" w:hAnsi="仿宋"/>
          <w:sz w:val="24"/>
          <w:szCs w:val="24"/>
        </w:rPr>
        <w:t>、交货地点：喀左县教育局指定33所中小学食堂库房。中标后，由采购人提供详细明录。</w:t>
      </w:r>
    </w:p>
    <w:p>
      <w:pPr>
        <w:autoSpaceDE w:val="0"/>
        <w:spacing w:line="360" w:lineRule="auto"/>
        <w:ind w:firstLine="480" w:firstLineChars="200"/>
        <w:rPr>
          <w:rFonts w:hint="eastAsia" w:ascii="仿宋" w:hAnsi="仿宋"/>
          <w:sz w:val="24"/>
          <w:szCs w:val="24"/>
        </w:rPr>
      </w:pPr>
      <w:r>
        <w:rPr>
          <w:rFonts w:hint="eastAsia" w:ascii="仿宋" w:hAnsi="仿宋"/>
          <w:sz w:val="24"/>
          <w:szCs w:val="24"/>
          <w:lang w:val="en-US" w:eastAsia="zh-CN"/>
        </w:rPr>
        <w:t>5</w:t>
      </w:r>
      <w:r>
        <w:rPr>
          <w:rFonts w:hint="eastAsia" w:ascii="仿宋" w:hAnsi="仿宋"/>
          <w:sz w:val="24"/>
          <w:szCs w:val="24"/>
        </w:rPr>
        <w:t>、付款方式：中标人按采购人实际需要进行送货完成后，每次月6日前按实际供应量进行结算。</w:t>
      </w:r>
    </w:p>
    <w:p>
      <w:pPr>
        <w:autoSpaceDN w:val="0"/>
        <w:spacing w:line="360" w:lineRule="auto"/>
        <w:ind w:firstLine="480" w:firstLineChars="200"/>
        <w:rPr>
          <w:rFonts w:hint="eastAsia" w:ascii="仿宋" w:hAnsi="仿宋"/>
          <w:sz w:val="24"/>
          <w:szCs w:val="24"/>
        </w:rPr>
      </w:pPr>
      <w:r>
        <w:rPr>
          <w:rFonts w:hint="eastAsia" w:ascii="仿宋" w:hAnsi="仿宋"/>
          <w:sz w:val="24"/>
          <w:szCs w:val="24"/>
          <w:lang w:val="en-US" w:eastAsia="zh-CN"/>
        </w:rPr>
        <w:t>6</w:t>
      </w:r>
      <w:r>
        <w:rPr>
          <w:rFonts w:hint="eastAsia" w:ascii="仿宋" w:hAnsi="仿宋"/>
          <w:sz w:val="24"/>
          <w:szCs w:val="24"/>
        </w:rPr>
        <w:t>、货物验收：中标人每次供货都须提供大米、豆油的出厂检测报告。</w:t>
      </w:r>
      <w:r>
        <w:rPr>
          <w:rFonts w:hint="eastAsia" w:ascii="仿宋" w:hAnsi="仿宋"/>
          <w:kern w:val="0"/>
          <w:sz w:val="24"/>
          <w:szCs w:val="24"/>
        </w:rPr>
        <w:t>采购人有权委托粮油检测机构抽样检测</w:t>
      </w:r>
      <w:r>
        <w:rPr>
          <w:rFonts w:hint="eastAsia" w:ascii="仿宋" w:hAnsi="仿宋"/>
          <w:spacing w:val="8"/>
          <w:kern w:val="0"/>
          <w:sz w:val="24"/>
          <w:szCs w:val="24"/>
        </w:rPr>
        <w:t>。按照政府采购合同规定的技术、服务、安全标准组织对供应商履约情况进行验收，并出具验收书。验收方成员应当在验收书上签字，并承担相应的法律责任。</w:t>
      </w:r>
      <w:r>
        <w:rPr>
          <w:rFonts w:hint="eastAsia" w:ascii="仿宋" w:hAnsi="仿宋"/>
          <w:sz w:val="24"/>
          <w:szCs w:val="24"/>
        </w:rPr>
        <w:t>检测结果不符合招标文件中规定的质量标准，则有权</w:t>
      </w:r>
      <w:r>
        <w:rPr>
          <w:rFonts w:hint="eastAsia" w:ascii="仿宋" w:hAnsi="仿宋"/>
          <w:sz w:val="24"/>
          <w:szCs w:val="24"/>
          <w:lang w:eastAsia="zh-CN"/>
        </w:rPr>
        <w:t>终</w:t>
      </w:r>
      <w:r>
        <w:rPr>
          <w:rFonts w:hint="eastAsia" w:ascii="仿宋" w:hAnsi="仿宋"/>
          <w:sz w:val="24"/>
          <w:szCs w:val="24"/>
        </w:rPr>
        <w:t>止采购合同，由此造成的后果，由中标人自行负责。</w:t>
      </w:r>
    </w:p>
    <w:p>
      <w:pPr>
        <w:autoSpaceDE w:val="0"/>
        <w:spacing w:line="360" w:lineRule="auto"/>
        <w:ind w:left="420"/>
        <w:rPr>
          <w:rFonts w:hint="eastAsia" w:ascii="仿宋" w:hAnsi="仿宋"/>
          <w:sz w:val="24"/>
          <w:szCs w:val="24"/>
        </w:rPr>
      </w:pPr>
      <w:r>
        <w:rPr>
          <w:rFonts w:hint="eastAsia" w:ascii="仿宋" w:hAnsi="仿宋"/>
          <w:sz w:val="24"/>
          <w:szCs w:val="24"/>
          <w:lang w:val="en-US" w:eastAsia="zh-CN"/>
        </w:rPr>
        <w:t>7</w:t>
      </w:r>
      <w:r>
        <w:rPr>
          <w:rFonts w:hint="eastAsia" w:ascii="仿宋" w:hAnsi="仿宋"/>
          <w:sz w:val="24"/>
          <w:szCs w:val="24"/>
        </w:rPr>
        <w:t>、投标人中标后的相关要求：</w:t>
      </w:r>
    </w:p>
    <w:p>
      <w:pPr>
        <w:autoSpaceDE w:val="0"/>
        <w:spacing w:line="360" w:lineRule="auto"/>
        <w:ind w:firstLine="480" w:firstLineChars="200"/>
        <w:jc w:val="left"/>
        <w:rPr>
          <w:rFonts w:hint="eastAsia" w:ascii="仿宋" w:hAnsi="仿宋"/>
          <w:sz w:val="24"/>
          <w:szCs w:val="24"/>
        </w:rPr>
      </w:pPr>
      <w:r>
        <w:rPr>
          <w:rFonts w:hint="eastAsia" w:ascii="仿宋" w:hAnsi="仿宋"/>
          <w:sz w:val="24"/>
          <w:szCs w:val="24"/>
        </w:rPr>
        <w:t>(1)投标人中标后，采购人</w:t>
      </w:r>
      <w:r>
        <w:rPr>
          <w:rFonts w:hint="eastAsia" w:ascii="仿宋" w:hAnsi="仿宋"/>
          <w:sz w:val="24"/>
          <w:szCs w:val="24"/>
          <w:lang w:eastAsia="zh-CN"/>
        </w:rPr>
        <w:t>将</w:t>
      </w:r>
      <w:r>
        <w:rPr>
          <w:rFonts w:hint="eastAsia" w:ascii="仿宋" w:hAnsi="仿宋"/>
          <w:sz w:val="24"/>
          <w:szCs w:val="24"/>
        </w:rPr>
        <w:t>对</w:t>
      </w:r>
      <w:r>
        <w:rPr>
          <w:rFonts w:hint="eastAsia" w:ascii="仿宋" w:hAnsi="仿宋"/>
          <w:sz w:val="24"/>
          <w:szCs w:val="24"/>
          <w:lang w:eastAsia="zh-CN"/>
        </w:rPr>
        <w:t>中标人的</w:t>
      </w:r>
      <w:r>
        <w:rPr>
          <w:rFonts w:hint="eastAsia" w:ascii="仿宋" w:hAnsi="仿宋"/>
          <w:sz w:val="24"/>
          <w:szCs w:val="24"/>
        </w:rPr>
        <w:t>仓储库房进行现场勘察，对不符合条件的，视为虚假投标，中标无效，</w:t>
      </w:r>
      <w:r>
        <w:rPr>
          <w:rFonts w:hint="eastAsia" w:ascii="仿宋" w:hAnsi="仿宋"/>
          <w:sz w:val="24"/>
          <w:szCs w:val="24"/>
          <w:lang w:eastAsia="zh-CN"/>
        </w:rPr>
        <w:t>采购人</w:t>
      </w:r>
      <w:r>
        <w:rPr>
          <w:rFonts w:hint="eastAsia" w:ascii="仿宋" w:hAnsi="仿宋"/>
          <w:sz w:val="24"/>
          <w:szCs w:val="24"/>
        </w:rPr>
        <w:t>有权不予签订政府采购合同</w:t>
      </w:r>
      <w:r>
        <w:rPr>
          <w:rFonts w:hint="eastAsia" w:ascii="仿宋" w:hAnsi="仿宋"/>
          <w:sz w:val="24"/>
          <w:szCs w:val="24"/>
          <w:lang w:eastAsia="zh-CN"/>
        </w:rPr>
        <w:t>，</w:t>
      </w:r>
      <w:r>
        <w:rPr>
          <w:rFonts w:hint="eastAsia" w:ascii="仿宋" w:hAnsi="仿宋"/>
          <w:sz w:val="24"/>
          <w:szCs w:val="24"/>
        </w:rPr>
        <w:t>由此产生的一切后果，投标人自行负责。</w:t>
      </w:r>
    </w:p>
    <w:p>
      <w:pPr>
        <w:autoSpaceDE w:val="0"/>
        <w:spacing w:line="360" w:lineRule="auto"/>
        <w:ind w:firstLine="480" w:firstLineChars="200"/>
        <w:jc w:val="left"/>
        <w:rPr>
          <w:rFonts w:hint="eastAsia" w:ascii="仿宋" w:hAnsi="仿宋"/>
          <w:sz w:val="24"/>
          <w:szCs w:val="24"/>
        </w:rPr>
      </w:pPr>
      <w:r>
        <w:rPr>
          <w:rFonts w:hint="eastAsia" w:ascii="仿宋" w:hAnsi="仿宋"/>
          <w:sz w:val="24"/>
          <w:szCs w:val="24"/>
        </w:rPr>
        <w:t>(2)投标人中标后,必须以确保食品安全为前提，必须确保所供物资能有效溯源。</w:t>
      </w:r>
    </w:p>
    <w:p>
      <w:pPr>
        <w:autoSpaceDN w:val="0"/>
        <w:spacing w:line="360" w:lineRule="auto"/>
        <w:ind w:firstLine="480" w:firstLineChars="200"/>
        <w:rPr>
          <w:rFonts w:hint="eastAsia" w:ascii="仿宋" w:hAnsi="仿宋"/>
          <w:sz w:val="24"/>
          <w:szCs w:val="24"/>
        </w:rPr>
      </w:pPr>
      <w:r>
        <w:rPr>
          <w:rFonts w:hint="eastAsia" w:ascii="仿宋" w:hAnsi="仿宋"/>
          <w:sz w:val="24"/>
          <w:szCs w:val="24"/>
        </w:rPr>
        <w:t>(3)投标人中标后,所提供的大米必须是供货日期前三个月内生产的新米。严禁在大米中掺杂陈化粮，严禁使用滑石粉抛光或食品类添加剂加工的大米。不能使用储存2年（含2年）以上的稻谷加工或混杂配制的大米，否则采购人有权终止采购合同，由此产生的一切后果由中标人自行负责。</w:t>
      </w:r>
    </w:p>
    <w:p>
      <w:pPr>
        <w:autoSpaceDN w:val="0"/>
        <w:spacing w:line="360" w:lineRule="auto"/>
        <w:ind w:firstLine="480" w:firstLineChars="200"/>
        <w:rPr>
          <w:rFonts w:hint="eastAsia" w:ascii="仿宋" w:hAnsi="仿宋"/>
          <w:sz w:val="24"/>
          <w:szCs w:val="24"/>
        </w:rPr>
      </w:pPr>
      <w:r>
        <w:rPr>
          <w:rFonts w:hint="eastAsia" w:ascii="仿宋" w:hAnsi="仿宋"/>
          <w:sz w:val="24"/>
          <w:szCs w:val="24"/>
        </w:rPr>
        <w:t>(4)投标人中标后，所提供的大豆油必须是供货日期前六个月内生产的油。否则采购人有权终止采购合同，由此产生的一切后果由中标人自行负责。</w:t>
      </w:r>
    </w:p>
    <w:p>
      <w:pPr>
        <w:autoSpaceDE w:val="0"/>
        <w:spacing w:line="360" w:lineRule="auto"/>
        <w:ind w:firstLine="480" w:firstLineChars="200"/>
        <w:rPr>
          <w:rFonts w:hint="eastAsia" w:ascii="仿宋" w:hAnsi="仿宋"/>
          <w:sz w:val="24"/>
          <w:szCs w:val="24"/>
        </w:rPr>
      </w:pPr>
      <w:r>
        <w:rPr>
          <w:rFonts w:hint="eastAsia" w:ascii="仿宋" w:hAnsi="仿宋"/>
          <w:sz w:val="24"/>
          <w:szCs w:val="24"/>
        </w:rPr>
        <w:t>(5)投标人中标后，应保证货物质量与安全，如有破包、漏包、包装污染（有霉斑、渗油等）、生产日期模糊、产品内有异物、产品有异味等情况，由中标人无条件免费负责调换</w:t>
      </w:r>
      <w:r>
        <w:rPr>
          <w:rFonts w:hint="eastAsia" w:ascii="仿宋" w:hAnsi="仿宋"/>
          <w:sz w:val="24"/>
          <w:szCs w:val="24"/>
          <w:lang w:eastAsia="zh-CN"/>
        </w:rPr>
        <w:t>；</w:t>
      </w:r>
      <w:r>
        <w:rPr>
          <w:rFonts w:hint="eastAsia" w:ascii="仿宋" w:hAnsi="仿宋"/>
          <w:sz w:val="24"/>
          <w:szCs w:val="24"/>
        </w:rPr>
        <w:t>因产品存在质量问题、或因产品质量原因发生的食品安全事故，取消中标资格，终止合同，由中标人承担全部经济和法律责任。必须保证提供的产品均应按国家相关规定的标准措施进行包装运送，以确保产品安全无损运抵指定学校。由于包装防护措施不妥或没有按照国家相关规定的标准措施包装的，</w:t>
      </w:r>
      <w:r>
        <w:rPr>
          <w:rFonts w:hint="eastAsia" w:ascii="仿宋" w:hAnsi="仿宋"/>
          <w:color w:val="333333"/>
          <w:sz w:val="24"/>
          <w:szCs w:val="24"/>
          <w:shd w:val="clear" w:color="auto" w:fill="FFFFFF"/>
        </w:rPr>
        <w:t>在运输、卸货、搬运以及放置货物过程中出现任何安全责任事故的</w:t>
      </w:r>
      <w:r>
        <w:rPr>
          <w:rFonts w:hint="eastAsia" w:ascii="仿宋" w:hAnsi="仿宋"/>
          <w:color w:val="333333"/>
          <w:sz w:val="24"/>
          <w:szCs w:val="24"/>
          <w:shd w:val="clear" w:color="auto" w:fill="FFFFFF"/>
          <w:lang w:eastAsia="zh-CN"/>
        </w:rPr>
        <w:t>，</w:t>
      </w:r>
      <w:r>
        <w:rPr>
          <w:rFonts w:hint="eastAsia" w:ascii="仿宋" w:hAnsi="仿宋"/>
          <w:sz w:val="24"/>
          <w:szCs w:val="24"/>
        </w:rPr>
        <w:t>引发的一切后果由投标人自行负责相应的法律责任。</w:t>
      </w:r>
    </w:p>
    <w:p>
      <w:pPr>
        <w:autoSpaceDE w:val="0"/>
        <w:spacing w:line="360" w:lineRule="auto"/>
        <w:ind w:firstLine="480" w:firstLineChars="200"/>
        <w:rPr>
          <w:rFonts w:hint="eastAsia" w:ascii="仿宋" w:hAnsi="仿宋"/>
          <w:sz w:val="24"/>
          <w:szCs w:val="24"/>
        </w:rPr>
      </w:pPr>
      <w:r>
        <w:rPr>
          <w:rFonts w:hint="eastAsia" w:ascii="仿宋" w:hAnsi="仿宋"/>
          <w:sz w:val="24"/>
          <w:szCs w:val="24"/>
        </w:rPr>
        <w:t>（6）投标人中标后，各学校指定具体负责人在</w:t>
      </w:r>
      <w:r>
        <w:rPr>
          <w:rFonts w:hint="eastAsia" w:ascii="仿宋" w:hAnsi="仿宋"/>
          <w:color w:val="333333"/>
          <w:sz w:val="24"/>
          <w:szCs w:val="24"/>
          <w:shd w:val="clear" w:color="auto" w:fill="FFFFFF"/>
        </w:rPr>
        <w:t>库存余粮用磬前五天告知送货，</w:t>
      </w:r>
      <w:r>
        <w:rPr>
          <w:rFonts w:hint="eastAsia" w:ascii="仿宋" w:hAnsi="仿宋"/>
          <w:sz w:val="24"/>
          <w:szCs w:val="24"/>
        </w:rPr>
        <w:t>中标人必须在12小时内将货物送到指定地点。</w:t>
      </w:r>
    </w:p>
    <w:p>
      <w:pPr>
        <w:autoSpaceDN w:val="0"/>
        <w:spacing w:line="360" w:lineRule="auto"/>
        <w:ind w:firstLine="480" w:firstLineChars="200"/>
        <w:rPr>
          <w:rFonts w:hint="eastAsia" w:ascii="仿宋" w:hAnsi="仿宋"/>
          <w:sz w:val="24"/>
          <w:szCs w:val="24"/>
        </w:rPr>
      </w:pPr>
      <w:r>
        <w:rPr>
          <w:rFonts w:hint="eastAsia" w:ascii="仿宋" w:hAnsi="仿宋"/>
          <w:sz w:val="24"/>
          <w:szCs w:val="24"/>
        </w:rPr>
        <w:t>(7)投标人中标后，按各学校指定负责人实际需要进行送货时，必须无条件遵守各学校负责人的统一安排，送货期间不得影响学校的正常教学工作。</w:t>
      </w:r>
    </w:p>
    <w:p>
      <w:pPr>
        <w:autoSpaceDN w:val="0"/>
        <w:spacing w:line="360" w:lineRule="auto"/>
        <w:ind w:firstLine="480" w:firstLineChars="200"/>
        <w:rPr>
          <w:rFonts w:hint="eastAsia" w:ascii="仿宋" w:hAnsi="仿宋" w:cs="Times New Roman"/>
          <w:sz w:val="24"/>
          <w:szCs w:val="24"/>
        </w:rPr>
      </w:pPr>
      <w:r>
        <w:rPr>
          <w:rFonts w:hint="eastAsia" w:ascii="仿宋" w:hAnsi="仿宋"/>
          <w:sz w:val="24"/>
          <w:szCs w:val="24"/>
          <w:lang w:val="en-US" w:eastAsia="zh-CN"/>
        </w:rPr>
        <w:t>8</w:t>
      </w:r>
      <w:r>
        <w:rPr>
          <w:rFonts w:hint="eastAsia" w:ascii="仿宋" w:hAnsi="仿宋"/>
          <w:sz w:val="24"/>
          <w:szCs w:val="24"/>
        </w:rPr>
        <w:t>、</w:t>
      </w:r>
      <w:r>
        <w:rPr>
          <w:rFonts w:hint="eastAsia" w:ascii="仿宋" w:hAnsi="仿宋" w:cs="Times New Roman"/>
          <w:sz w:val="24"/>
          <w:szCs w:val="24"/>
        </w:rPr>
        <w:t>取消合同事宜：发生以下任意一条行为，甲方有权单方面终止合同并扣除全部履约保证金不予退还，并有权追究其法律责任。</w:t>
      </w:r>
    </w:p>
    <w:p>
      <w:pPr>
        <w:autoSpaceDN w:val="0"/>
        <w:spacing w:line="360" w:lineRule="auto"/>
        <w:ind w:firstLine="480" w:firstLineChars="200"/>
        <w:rPr>
          <w:rFonts w:hint="eastAsia" w:ascii="仿宋" w:hAnsi="仿宋" w:cs="Times New Roman"/>
          <w:sz w:val="24"/>
          <w:szCs w:val="24"/>
        </w:rPr>
      </w:pPr>
      <w:r>
        <w:rPr>
          <w:rFonts w:hint="eastAsia" w:ascii="仿宋" w:hAnsi="仿宋" w:cs="Times New Roman"/>
          <w:sz w:val="24"/>
          <w:szCs w:val="24"/>
        </w:rPr>
        <w:t>（1）中标方每次提供的货物检测结果与招标文件的规定不一致的。</w:t>
      </w:r>
    </w:p>
    <w:p>
      <w:pPr>
        <w:autoSpaceDN w:val="0"/>
        <w:spacing w:line="360" w:lineRule="auto"/>
        <w:ind w:firstLine="480" w:firstLineChars="200"/>
        <w:rPr>
          <w:rFonts w:hint="eastAsia" w:ascii="仿宋" w:hAnsi="仿宋" w:cs="Times New Roman"/>
          <w:sz w:val="24"/>
          <w:szCs w:val="24"/>
        </w:rPr>
      </w:pPr>
      <w:r>
        <w:rPr>
          <w:rFonts w:hint="eastAsia" w:ascii="仿宋" w:hAnsi="仿宋" w:cs="Times New Roman"/>
          <w:sz w:val="24"/>
          <w:szCs w:val="24"/>
        </w:rPr>
        <w:t>（2）中标方发生食品安全事故的。</w:t>
      </w:r>
    </w:p>
    <w:p>
      <w:pPr>
        <w:autoSpaceDN w:val="0"/>
        <w:spacing w:line="360" w:lineRule="auto"/>
        <w:ind w:firstLine="480" w:firstLineChars="200"/>
        <w:rPr>
          <w:rFonts w:hint="eastAsia" w:ascii="仿宋" w:hAnsi="仿宋" w:cs="Times New Roman"/>
          <w:sz w:val="24"/>
          <w:szCs w:val="24"/>
        </w:rPr>
      </w:pPr>
      <w:r>
        <w:rPr>
          <w:rFonts w:hint="eastAsia" w:ascii="仿宋" w:hAnsi="仿宋" w:cs="Times New Roman"/>
          <w:sz w:val="24"/>
          <w:szCs w:val="24"/>
        </w:rPr>
        <w:t>（3）中标方提供的货物在生产过程中添加任何化学制剂或粉剂、矿物质的。</w:t>
      </w:r>
    </w:p>
    <w:p>
      <w:pPr>
        <w:autoSpaceDN w:val="0"/>
        <w:spacing w:line="360" w:lineRule="auto"/>
        <w:ind w:firstLine="480" w:firstLineChars="200"/>
        <w:rPr>
          <w:rFonts w:hint="eastAsia" w:ascii="仿宋" w:hAnsi="仿宋" w:cs="Times New Roman"/>
          <w:sz w:val="24"/>
          <w:szCs w:val="24"/>
        </w:rPr>
      </w:pPr>
      <w:r>
        <w:rPr>
          <w:rFonts w:hint="eastAsia" w:ascii="仿宋" w:hAnsi="仿宋" w:cs="Times New Roman"/>
          <w:sz w:val="24"/>
          <w:szCs w:val="24"/>
        </w:rPr>
        <w:t>（4）中标方没有在规定时间内送到指定地点的。</w:t>
      </w:r>
    </w:p>
    <w:p>
      <w:pPr>
        <w:autoSpaceDN w:val="0"/>
        <w:spacing w:line="360" w:lineRule="auto"/>
        <w:ind w:firstLine="480" w:firstLineChars="200"/>
        <w:rPr>
          <w:rFonts w:hint="eastAsia" w:ascii="仿宋" w:hAnsi="仿宋" w:cs="Times New Roman"/>
          <w:sz w:val="24"/>
          <w:szCs w:val="24"/>
        </w:rPr>
      </w:pPr>
      <w:r>
        <w:rPr>
          <w:rFonts w:hint="eastAsia" w:ascii="仿宋" w:hAnsi="仿宋" w:cs="Times New Roman"/>
          <w:sz w:val="24"/>
          <w:szCs w:val="24"/>
        </w:rPr>
        <w:t>（5）中标方将其中标后供应的产品转包、委托、合作等其他方式交给第三方运营的。</w:t>
      </w:r>
    </w:p>
    <w:p>
      <w:pPr>
        <w:autoSpaceDN w:val="0"/>
        <w:spacing w:line="360" w:lineRule="auto"/>
        <w:ind w:firstLine="480" w:firstLineChars="200"/>
        <w:rPr>
          <w:rFonts w:hint="eastAsia" w:ascii="仿宋" w:hAnsi="仿宋" w:cs="Times New Roman"/>
          <w:sz w:val="24"/>
          <w:szCs w:val="24"/>
        </w:rPr>
      </w:pPr>
      <w:r>
        <w:rPr>
          <w:rFonts w:hint="eastAsia" w:ascii="仿宋" w:hAnsi="仿宋" w:cs="Times New Roman"/>
          <w:sz w:val="24"/>
          <w:szCs w:val="24"/>
        </w:rPr>
        <w:t>（6）不出具发票、出具发票不是投标人的或出具弄虚作假发票的。</w:t>
      </w:r>
    </w:p>
    <w:p>
      <w:pPr>
        <w:autoSpaceDN w:val="0"/>
        <w:spacing w:line="360" w:lineRule="auto"/>
        <w:ind w:firstLine="480" w:firstLineChars="200"/>
        <w:rPr>
          <w:rFonts w:hint="eastAsia" w:ascii="仿宋" w:hAnsi="仿宋" w:cs="Times New Roman"/>
          <w:sz w:val="24"/>
          <w:szCs w:val="24"/>
        </w:rPr>
      </w:pPr>
      <w:r>
        <w:rPr>
          <w:rFonts w:hint="eastAsia" w:ascii="仿宋" w:hAnsi="仿宋" w:cs="Times New Roman"/>
          <w:sz w:val="24"/>
          <w:szCs w:val="24"/>
        </w:rPr>
        <w:t xml:space="preserve"> </w:t>
      </w:r>
    </w:p>
    <w:p>
      <w:pPr>
        <w:pStyle w:val="9"/>
        <w:rPr>
          <w:rFonts w:hint="eastAsia" w:ascii="仿宋" w:hAnsi="仿宋"/>
          <w:sz w:val="24"/>
          <w:szCs w:val="24"/>
        </w:rPr>
      </w:pPr>
    </w:p>
    <w:p>
      <w:pPr>
        <w:pStyle w:val="9"/>
        <w:rPr>
          <w:rFonts w:hint="eastAsia" w:ascii="仿宋" w:hAnsi="仿宋"/>
          <w:sz w:val="24"/>
          <w:szCs w:val="24"/>
        </w:rPr>
      </w:pPr>
    </w:p>
    <w:p>
      <w:pPr>
        <w:pStyle w:val="9"/>
        <w:rPr>
          <w:rFonts w:hint="eastAsia" w:ascii="仿宋" w:hAnsi="仿宋"/>
          <w:sz w:val="24"/>
          <w:szCs w:val="24"/>
        </w:rPr>
      </w:pPr>
    </w:p>
    <w:p>
      <w:pPr>
        <w:pStyle w:val="3"/>
        <w:snapToGrid w:val="0"/>
        <w:spacing w:before="319" w:beforeLines="100" w:after="319" w:afterLines="100" w:line="360" w:lineRule="auto"/>
        <w:rPr>
          <w:rFonts w:ascii="仿宋_GB2312" w:hAnsi="仿宋_GB2312" w:eastAsia="仿宋_GB2312" w:cs="仿宋_GB2312"/>
        </w:rPr>
      </w:pPr>
      <w:r>
        <w:rPr>
          <w:rFonts w:hint="eastAsia" w:ascii="仿宋_GB2312" w:hAnsi="仿宋_GB2312" w:eastAsia="仿宋_GB2312" w:cs="仿宋_GB2312"/>
        </w:rPr>
        <w:t>第四章 评标方法</w:t>
      </w:r>
    </w:p>
    <w:p>
      <w:pPr>
        <w:adjustRightInd w:val="0"/>
        <w:snapToGrid w:val="0"/>
        <w:spacing w:line="360" w:lineRule="auto"/>
        <w:ind w:firstLine="420" w:firstLineChars="200"/>
        <w:rPr>
          <w:rFonts w:ascii="仿宋_GB2312" w:hAnsi="仿宋_GB2312" w:eastAsia="仿宋_GB2312" w:cs="仿宋_GB2312"/>
          <w:b/>
          <w:kern w:val="0"/>
          <w:szCs w:val="21"/>
        </w:rPr>
      </w:pPr>
      <w:r>
        <w:rPr>
          <w:rFonts w:hint="eastAsia" w:ascii="仿宋_GB2312" w:hAnsi="仿宋_GB2312" w:eastAsia="仿宋_GB2312" w:cs="仿宋_GB2312"/>
          <w:bCs/>
          <w:kern w:val="0"/>
          <w:szCs w:val="21"/>
        </w:rPr>
        <w:t>本项目将按照招标文件第一章投标人须知中“六 开标及评标”、“七 确定中标”及本章的规定评标。</w:t>
      </w:r>
    </w:p>
    <w:p>
      <w:pPr>
        <w:adjustRightInd w:val="0"/>
        <w:snapToGrid w:val="0"/>
        <w:spacing w:line="360" w:lineRule="auto"/>
        <w:ind w:firstLine="420" w:firstLineChars="200"/>
        <w:rPr>
          <w:rFonts w:ascii="仿宋_GB2312" w:hAnsi="仿宋_GB2312" w:eastAsia="仿宋_GB2312" w:cs="仿宋_GB2312"/>
          <w:b/>
          <w:kern w:val="0"/>
          <w:szCs w:val="21"/>
        </w:rPr>
      </w:pPr>
      <w:bookmarkStart w:id="135" w:name="_Toc22313_WPSOffice_Level2"/>
      <w:r>
        <w:rPr>
          <w:rFonts w:hint="eastAsia" w:ascii="仿宋_GB2312" w:hAnsi="仿宋_GB2312" w:eastAsia="仿宋_GB2312" w:cs="仿宋_GB2312"/>
          <w:b/>
          <w:kern w:val="0"/>
          <w:szCs w:val="21"/>
        </w:rPr>
        <w:t>一、评标方法</w:t>
      </w:r>
      <w:bookmarkEnd w:id="135"/>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本项目采用</w:t>
      </w:r>
      <w:r>
        <w:rPr>
          <w:rFonts w:hint="eastAsia" w:ascii="仿宋_GB2312" w:hAnsi="仿宋_GB2312" w:eastAsia="仿宋_GB2312" w:cs="仿宋_GB2312"/>
          <w:kern w:val="0"/>
          <w:szCs w:val="21"/>
          <w:u w:val="single"/>
        </w:rPr>
        <w:t>综合评分法</w:t>
      </w:r>
      <w:r>
        <w:rPr>
          <w:rFonts w:hint="eastAsia" w:ascii="仿宋_GB2312" w:hAnsi="仿宋_GB2312" w:eastAsia="仿宋_GB2312" w:cs="仿宋_GB2312"/>
          <w:kern w:val="0"/>
          <w:szCs w:val="21"/>
        </w:rPr>
        <w:t>进行评标。</w:t>
      </w:r>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bookmarkStart w:id="136" w:name="_Toc21368_WPSOffice_Level2"/>
      <w:r>
        <w:rPr>
          <w:rFonts w:hint="eastAsia" w:ascii="仿宋_GB2312" w:hAnsi="仿宋_GB2312" w:eastAsia="仿宋_GB2312" w:cs="仿宋_GB2312"/>
          <w:b/>
          <w:kern w:val="0"/>
          <w:szCs w:val="21"/>
        </w:rPr>
        <w:t>二、评标原则及程序</w:t>
      </w:r>
      <w:bookmarkEnd w:id="136"/>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r>
        <w:rPr>
          <w:rFonts w:hint="eastAsia" w:ascii="仿宋_GB2312" w:hAnsi="仿宋_GB2312" w:eastAsia="仿宋_GB2312" w:cs="仿宋_GB2312"/>
          <w:b/>
          <w:kern w:val="0"/>
          <w:szCs w:val="21"/>
        </w:rPr>
        <w:t>（一）评标原则</w:t>
      </w:r>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r>
        <w:rPr>
          <w:rFonts w:hint="eastAsia" w:ascii="仿宋_GB2312" w:hAnsi="仿宋_GB2312" w:eastAsia="仿宋_GB2312" w:cs="仿宋_GB2312"/>
          <w:kern w:val="0"/>
        </w:rPr>
        <w:t>评标委员会应当按照客观、公正、审慎的原则，根据采购文件规定的评审程序、评审方法和评审标准进行独立评审。采购文件内容违反国家有关强制性规定的，评标委员会应当停止评审并向采购人或者采购代理机构说明情况。</w:t>
      </w:r>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r>
        <w:rPr>
          <w:rFonts w:hint="eastAsia" w:ascii="仿宋_GB2312" w:hAnsi="仿宋_GB2312" w:eastAsia="仿宋_GB2312" w:cs="仿宋_GB2312"/>
          <w:b/>
          <w:kern w:val="0"/>
          <w:szCs w:val="21"/>
        </w:rPr>
        <w:t>（二）评标程序</w:t>
      </w:r>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r>
        <w:rPr>
          <w:rFonts w:hint="eastAsia" w:ascii="仿宋_GB2312" w:hAnsi="仿宋_GB2312" w:eastAsia="仿宋_GB2312" w:cs="仿宋_GB2312"/>
          <w:b/>
          <w:kern w:val="0"/>
          <w:szCs w:val="21"/>
        </w:rPr>
        <w:t>★1、资格审查</w:t>
      </w:r>
    </w:p>
    <w:p>
      <w:pPr>
        <w:adjustRightInd w:val="0"/>
        <w:snapToGrid w:val="0"/>
        <w:spacing w:line="360" w:lineRule="auto"/>
        <w:ind w:firstLine="420" w:firstLineChars="200"/>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1.1详见投标人须知22条。资格审查表详见本章附件1。</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w:t>
      </w:r>
      <w:r>
        <w:rPr>
          <w:rFonts w:hint="eastAsia" w:ascii="仿宋_GB2312" w:hAnsi="仿宋_GB2312" w:eastAsia="仿宋_GB2312" w:cs="仿宋_GB2312"/>
          <w:b/>
          <w:bCs/>
          <w:kern w:val="0"/>
          <w:szCs w:val="21"/>
        </w:rPr>
        <w:t>2、符合性审查</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2.1详见投标人须知23条。符合性审查表详见本章附件2。</w:t>
      </w:r>
    </w:p>
    <w:p>
      <w:pPr>
        <w:adjustRightInd w:val="0"/>
        <w:snapToGrid w:val="0"/>
        <w:spacing w:line="360" w:lineRule="auto"/>
        <w:ind w:firstLine="420" w:firstLineChars="200"/>
        <w:rPr>
          <w:rFonts w:ascii="仿宋_GB2312" w:hAnsi="仿宋_GB2312" w:eastAsia="仿宋_GB2312" w:cs="仿宋_GB2312"/>
          <w:b/>
          <w:kern w:val="0"/>
          <w:szCs w:val="21"/>
        </w:rPr>
      </w:pPr>
      <w:r>
        <w:rPr>
          <w:rFonts w:hint="eastAsia" w:ascii="仿宋_GB2312" w:hAnsi="仿宋_GB2312" w:eastAsia="仿宋_GB2312" w:cs="仿宋_GB2312"/>
          <w:b/>
          <w:kern w:val="0"/>
          <w:szCs w:val="21"/>
        </w:rPr>
        <w:t>3、样品及演示</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3.1</w:t>
      </w:r>
      <w:r>
        <w:rPr>
          <w:rFonts w:hint="eastAsia" w:ascii="仿宋_GB2312" w:hAnsi="仿宋_GB2312" w:eastAsia="仿宋_GB2312" w:cs="仿宋_GB2312"/>
          <w:kern w:val="0"/>
          <w:szCs w:val="21"/>
        </w:rPr>
        <w:t>投标人须知表11.3条</w:t>
      </w:r>
      <w:r>
        <w:rPr>
          <w:rFonts w:hint="eastAsia" w:ascii="仿宋_GB2312" w:hAnsi="仿宋_GB2312" w:eastAsia="仿宋_GB2312" w:cs="仿宋_GB2312"/>
          <w:szCs w:val="21"/>
        </w:rPr>
        <w:t>中要求投标人提供样品或演示的，按照</w:t>
      </w:r>
      <w:r>
        <w:rPr>
          <w:rFonts w:hint="eastAsia" w:ascii="仿宋_GB2312" w:hAnsi="仿宋_GB2312" w:eastAsia="仿宋_GB2312" w:cs="仿宋_GB2312"/>
          <w:kern w:val="0"/>
          <w:szCs w:val="21"/>
        </w:rPr>
        <w:t>投标人须知表25.1条</w:t>
      </w:r>
      <w:r>
        <w:rPr>
          <w:rFonts w:hint="eastAsia" w:ascii="仿宋_GB2312" w:hAnsi="仿宋_GB2312" w:eastAsia="仿宋_GB2312" w:cs="仿宋_GB2312"/>
          <w:szCs w:val="21"/>
        </w:rPr>
        <w:t>中确定的评审方法以及评审标准进行评审。(样品或演示属于符合性审查的，按照</w:t>
      </w:r>
      <w:r>
        <w:rPr>
          <w:rFonts w:hint="eastAsia" w:ascii="仿宋_GB2312" w:hAnsi="仿宋_GB2312" w:eastAsia="仿宋_GB2312" w:cs="仿宋_GB2312"/>
          <w:kern w:val="0"/>
          <w:szCs w:val="21"/>
        </w:rPr>
        <w:t>投标人须知23条</w:t>
      </w:r>
      <w:r>
        <w:rPr>
          <w:rFonts w:hint="eastAsia" w:ascii="仿宋_GB2312" w:hAnsi="仿宋_GB2312" w:eastAsia="仿宋_GB2312" w:cs="仿宋_GB2312"/>
          <w:szCs w:val="21"/>
        </w:rPr>
        <w:t>规定执行）</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★4</w:t>
      </w:r>
      <w:r>
        <w:rPr>
          <w:rFonts w:hint="eastAsia" w:ascii="仿宋_GB2312" w:hAnsi="仿宋_GB2312" w:eastAsia="仿宋_GB2312" w:cs="仿宋_GB2312"/>
          <w:b/>
          <w:bCs/>
          <w:kern w:val="0"/>
          <w:szCs w:val="21"/>
        </w:rPr>
        <w:t>、同一品牌产品</w:t>
      </w:r>
    </w:p>
    <w:p>
      <w:pPr>
        <w:adjustRightInd w:val="0"/>
        <w:snapToGrid w:val="0"/>
        <w:spacing w:line="360" w:lineRule="auto"/>
        <w:ind w:firstLine="420" w:firstLineChars="200"/>
        <w:rPr>
          <w:rFonts w:ascii="仿宋_GB2312" w:hAnsi="仿宋_GB2312" w:eastAsia="仿宋_GB2312" w:cs="仿宋_GB2312"/>
          <w:b/>
          <w:bCs/>
          <w:szCs w:val="21"/>
        </w:rPr>
      </w:pPr>
      <w:r>
        <w:rPr>
          <w:rFonts w:hint="eastAsia" w:ascii="仿宋_GB2312" w:hAnsi="仿宋_GB2312" w:eastAsia="仿宋_GB2312" w:cs="仿宋_GB2312"/>
          <w:szCs w:val="21"/>
        </w:rPr>
        <w:t>4.1通过资格审查、符合性审查的不同品牌投标人不足3家的，按照</w:t>
      </w:r>
      <w:r>
        <w:rPr>
          <w:rFonts w:hint="eastAsia" w:ascii="仿宋_GB2312" w:hAnsi="仿宋_GB2312" w:eastAsia="仿宋_GB2312" w:cs="仿宋_GB2312"/>
          <w:kern w:val="0"/>
          <w:szCs w:val="21"/>
        </w:rPr>
        <w:t>投标人须知28条第（1）款</w:t>
      </w:r>
      <w:r>
        <w:rPr>
          <w:rFonts w:hint="eastAsia" w:ascii="仿宋_GB2312" w:hAnsi="仿宋_GB2312" w:eastAsia="仿宋_GB2312" w:cs="仿宋_GB2312"/>
          <w:szCs w:val="21"/>
        </w:rPr>
        <w:t>执行</w:t>
      </w:r>
      <w:r>
        <w:rPr>
          <w:rFonts w:hint="eastAsia" w:ascii="仿宋_GB2312" w:hAnsi="仿宋_GB2312" w:eastAsia="仿宋_GB2312" w:cs="仿宋_GB2312"/>
          <w:kern w:val="0"/>
          <w:szCs w:val="21"/>
        </w:rPr>
        <w:t>。</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4.2提供相同品牌产品且通过资格审查、符合性审查的不同投标人，按一家投标人计算。</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4.3如一个分包内只有一种产品，不同投标人所投产品为同一品牌的，按如下方式处理：</w:t>
      </w:r>
    </w:p>
    <w:p>
      <w:pPr>
        <w:numPr>
          <w:ilvl w:val="0"/>
          <w:numId w:val="6"/>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如本项目使用最低评标价法，提供相同品牌产品的不同投标人以其中通过资格审查、符合性审查且报价最低的参加比较及评价；报价相同的，按</w:t>
      </w:r>
      <w:r>
        <w:rPr>
          <w:rFonts w:hint="eastAsia" w:ascii="仿宋_GB2312" w:hAnsi="仿宋_GB2312" w:eastAsia="仿宋_GB2312" w:cs="仿宋_GB2312"/>
          <w:kern w:val="0"/>
          <w:szCs w:val="21"/>
        </w:rPr>
        <w:t>本章第8条</w:t>
      </w:r>
      <w:r>
        <w:rPr>
          <w:rFonts w:hint="eastAsia" w:ascii="仿宋_GB2312" w:hAnsi="仿宋_GB2312" w:eastAsia="仿宋_GB2312" w:cs="仿宋_GB2312"/>
          <w:szCs w:val="21"/>
        </w:rPr>
        <w:t>“推荐中标候选人的原则”规定执行；未规定的采取随机抽取方式确定，其他</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如本项目使用综合评分法，评审后得分最高的同品牌投标人获得中标人推荐资格；评审得分相同的，按本章第8条“推荐中标候选人的原则”规定执行；未规定的采取随机抽取方式确定，其他同品牌投标人不作为中标候选人。</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szCs w:val="21"/>
        </w:rPr>
        <w:t>4.4如一个分包内包含多种产品的，采购人或采购代理机构将在招标文件中载明核心产品，多家投标人提供的核心产品品牌相同的，</w:t>
      </w:r>
      <w:r>
        <w:rPr>
          <w:rFonts w:hint="eastAsia" w:ascii="仿宋_GB2312" w:hAnsi="仿宋_GB2312" w:eastAsia="仿宋_GB2312" w:cs="仿宋_GB2312"/>
          <w:kern w:val="0"/>
          <w:szCs w:val="21"/>
        </w:rPr>
        <w:t>按本章第4.3条规定处理。</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★5</w:t>
      </w:r>
      <w:r>
        <w:rPr>
          <w:rFonts w:hint="eastAsia" w:ascii="仿宋_GB2312" w:hAnsi="仿宋_GB2312" w:eastAsia="仿宋_GB2312" w:cs="仿宋_GB2312"/>
          <w:b/>
          <w:bCs/>
          <w:kern w:val="0"/>
          <w:szCs w:val="21"/>
        </w:rPr>
        <w:t>、比较及评价</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5.1评标委员会对通过符合性审查的投标文件进行比较和评价。</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5.2在评标期间，对投标文件的澄清按投标人须知24条内容执行。</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5.3评标委员会认为投标人的报价明显低于其他通过符合性审查的投标人报价，有可能影响产品质量或者不能诚信履约的，评标委员会应当要求其在评标现场合理的时间（</w:t>
      </w:r>
      <w:r>
        <w:rPr>
          <w:rFonts w:hint="eastAsia" w:ascii="仿宋_GB2312" w:hAnsi="仿宋_GB2312" w:eastAsia="仿宋_GB2312" w:cs="仿宋_GB2312"/>
          <w:kern w:val="0"/>
          <w:szCs w:val="21"/>
        </w:rPr>
        <w:t>接到通知后</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u w:val="single"/>
          <w:lang w:val="en-US" w:eastAsia="zh-CN"/>
        </w:rPr>
        <w:t>0.5</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小时</w:t>
      </w:r>
      <w:r>
        <w:rPr>
          <w:rFonts w:hint="eastAsia" w:ascii="仿宋_GB2312" w:hAnsi="仿宋_GB2312" w:eastAsia="仿宋_GB2312" w:cs="仿宋_GB2312"/>
          <w:szCs w:val="21"/>
        </w:rPr>
        <w:t>）内提供书面说明，并提交相关证明材料，</w:t>
      </w:r>
      <w:r>
        <w:rPr>
          <w:rFonts w:hint="eastAsia" w:ascii="仿宋_GB2312" w:hAnsi="仿宋_GB2312" w:eastAsia="仿宋_GB2312" w:cs="仿宋_GB2312"/>
          <w:kern w:val="0"/>
          <w:szCs w:val="21"/>
        </w:rPr>
        <w:t>投标人不能证明其报价合理性的，评标委员会应当将</w:t>
      </w:r>
      <w:r>
        <w:rPr>
          <w:rFonts w:hint="eastAsia" w:ascii="仿宋_GB2312" w:hAnsi="仿宋_GB2312" w:eastAsia="仿宋_GB2312" w:cs="仿宋_GB2312"/>
          <w:szCs w:val="21"/>
        </w:rPr>
        <w:t>其投标作为</w:t>
      </w:r>
      <w:r>
        <w:rPr>
          <w:rFonts w:hint="eastAsia" w:ascii="仿宋_GB2312" w:hAnsi="仿宋_GB2312" w:eastAsia="仿宋_GB2312" w:cs="仿宋_GB2312"/>
          <w:b/>
          <w:bCs/>
          <w:szCs w:val="21"/>
        </w:rPr>
        <w:t>无效投标处理</w:t>
      </w:r>
      <w:r>
        <w:rPr>
          <w:rFonts w:hint="eastAsia" w:ascii="仿宋_GB2312" w:hAnsi="仿宋_GB2312" w:eastAsia="仿宋_GB2312" w:cs="仿宋_GB2312"/>
          <w:szCs w:val="21"/>
        </w:rPr>
        <w:t>。</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投标人的书面说明材料包含货物本身成本、人工费用、运输、税收等，以及报价不会影响产品质量或诚信履约能力的说明等。</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投标人的书面说明应当签字确认或者加盖公章，否则无效。书面说明的签字确认，由其法定代表人（非法人单位负责人或自然人本人）或者其授权代表签字确认。</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人提供书面说明后，评标委员会应当结合采购项目采购需求、专业实际情况、投标人财务状况报告、与其他投标人比较情况等就投标人的书面说明进行审查评价。投标人如有下列情况的，评标委员会应当将其投标文件作为无效处理：</w:t>
      </w:r>
    </w:p>
    <w:p>
      <w:pPr>
        <w:numPr>
          <w:ilvl w:val="0"/>
          <w:numId w:val="7"/>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拒绝或者变相拒绝提供有效书面说明；</w:t>
      </w:r>
    </w:p>
    <w:p>
      <w:pPr>
        <w:numPr>
          <w:ilvl w:val="0"/>
          <w:numId w:val="7"/>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书面说明不能证明其报价合理性的；</w:t>
      </w:r>
    </w:p>
    <w:p>
      <w:pPr>
        <w:numPr>
          <w:ilvl w:val="0"/>
          <w:numId w:val="7"/>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未在规定时间内递交有效书面说明书的。</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★6</w:t>
      </w:r>
      <w:r>
        <w:rPr>
          <w:rFonts w:hint="eastAsia" w:ascii="仿宋_GB2312" w:hAnsi="仿宋_GB2312" w:eastAsia="仿宋_GB2312" w:cs="仿宋_GB2312"/>
          <w:b/>
          <w:bCs/>
          <w:kern w:val="0"/>
          <w:szCs w:val="21"/>
        </w:rPr>
        <w:t>、需落实的政府采购政策性规定：</w:t>
      </w:r>
    </w:p>
    <w:p>
      <w:pPr>
        <w:adjustRightInd w:val="0"/>
        <w:snapToGrid w:val="0"/>
        <w:spacing w:line="360" w:lineRule="auto"/>
        <w:ind w:firstLine="420" w:firstLineChars="200"/>
        <w:rPr>
          <w:rFonts w:ascii="仿宋_GB2312" w:hAnsi="仿宋_GB2312" w:eastAsia="仿宋_GB2312" w:cs="仿宋_GB2312"/>
          <w:b/>
          <w:kern w:val="0"/>
          <w:szCs w:val="21"/>
        </w:rPr>
      </w:pPr>
      <w:r>
        <w:rPr>
          <w:rFonts w:hint="eastAsia" w:ascii="仿宋_GB2312" w:hAnsi="仿宋_GB2312" w:eastAsia="仿宋_GB2312" w:cs="仿宋_GB2312"/>
          <w:b/>
          <w:kern w:val="0"/>
          <w:szCs w:val="21"/>
        </w:rPr>
        <w:t>6.1对于中小微企业的相关规定</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6.1.1对于非专门面向中小企业的项目，在满足价格扣除条件且在投标文件中按要求提交了《中小企业声明函》、《制造商企业（单位）类型声明函》</w:t>
      </w:r>
      <w:r>
        <w:rPr>
          <w:rFonts w:hint="eastAsia" w:ascii="仿宋_GB2312" w:hAnsi="仿宋_GB2312" w:eastAsia="仿宋_GB2312" w:cs="仿宋_GB2312"/>
          <w:kern w:val="0"/>
          <w:szCs w:val="21"/>
        </w:rPr>
        <w:t>（采购人采购的服务有伴随货物时，投标人所投货物为其它企业生产时须提供此声明函，仅作为价格扣除条件）的，</w:t>
      </w:r>
      <w:r>
        <w:rPr>
          <w:rFonts w:hint="eastAsia" w:ascii="仿宋_GB2312" w:hAnsi="仿宋_GB2312" w:eastAsia="仿宋_GB2312" w:cs="仿宋_GB2312"/>
          <w:szCs w:val="21"/>
        </w:rPr>
        <w:t>对投标报价给予价格扣除，用扣除后的价格参与评审。投标报价扣除比例如下：</w:t>
      </w:r>
    </w:p>
    <w:p>
      <w:pPr>
        <w:adjustRightInd w:val="0"/>
        <w:snapToGrid w:val="0"/>
        <w:spacing w:line="360" w:lineRule="auto"/>
        <w:ind w:firstLine="210" w:firstLineChars="100"/>
        <w:jc w:val="left"/>
        <w:rPr>
          <w:rFonts w:ascii="仿宋_GB2312" w:hAnsi="仿宋_GB2312" w:eastAsia="仿宋_GB2312" w:cs="仿宋_GB2312"/>
          <w:szCs w:val="21"/>
        </w:rPr>
      </w:pPr>
      <w:r>
        <w:rPr>
          <w:rFonts w:hint="eastAsia" w:ascii="仿宋_GB2312" w:hAnsi="仿宋_GB2312" w:eastAsia="仿宋_GB2312" w:cs="仿宋_GB2312"/>
          <w:szCs w:val="21"/>
        </w:rPr>
        <w:t>（1）非联合体投标</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 xml:space="preserve">       小型和微型企业相应产品、服务投标报价的</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u w:val="single"/>
          <w:lang w:val="en-US" w:eastAsia="zh-CN"/>
        </w:rPr>
        <w:t>10%</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w:t>
      </w:r>
      <w:r>
        <w:rPr>
          <w:rFonts w:hint="eastAsia" w:ascii="仿宋_GB2312" w:hAnsi="仿宋_GB2312" w:eastAsia="仿宋_GB2312" w:cs="仿宋_GB2312"/>
          <w:szCs w:val="21"/>
        </w:rPr>
        <w:t>6-10%）</w:t>
      </w:r>
    </w:p>
    <w:p>
      <w:pPr>
        <w:adjustRightInd w:val="0"/>
        <w:snapToGrid w:val="0"/>
        <w:spacing w:line="360" w:lineRule="auto"/>
        <w:ind w:firstLine="210" w:firstLineChars="100"/>
        <w:jc w:val="left"/>
        <w:rPr>
          <w:rFonts w:ascii="仿宋_GB2312" w:hAnsi="仿宋_GB2312" w:eastAsia="仿宋_GB2312" w:cs="仿宋_GB2312"/>
          <w:szCs w:val="21"/>
        </w:rPr>
      </w:pPr>
      <w:r>
        <w:rPr>
          <w:rFonts w:hint="eastAsia" w:ascii="仿宋_GB2312" w:hAnsi="仿宋_GB2312" w:eastAsia="仿宋_GB2312" w:cs="仿宋_GB2312"/>
          <w:szCs w:val="21"/>
        </w:rPr>
        <w:t>（2）联合体投标</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大中型企业和其他自然人、法人或者其他组织与小型、微型企业组成联合体共同参加非专门面向中小企业的政府采购活动的，联合体报价协议中约定，小型、微型企业的协议合同金额占到联合体报价协议合同总金额30%以上的，投标报价扣除</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w:t>
      </w:r>
      <w:r>
        <w:rPr>
          <w:rFonts w:hint="eastAsia" w:ascii="仿宋_GB2312" w:hAnsi="仿宋_GB2312" w:eastAsia="仿宋_GB2312" w:cs="仿宋_GB2312"/>
          <w:szCs w:val="21"/>
        </w:rPr>
        <w:t>2-3%）。</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 xml:space="preserve">联合体各方均为小型、微型企业的，联合体视同为小型、微型企业，按第本款（1）条规定享受扶持政策。组成联合体的大中型企业和其他自然人、法人或者其他组织，与小型、微型企业之间不得存在投资关系。 </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6.1.2监狱企业视同小型、微型企业，在满足价格扣除条件且在投标文件中按要求提交了省级以上监狱管理局、戒毒管理局（含新疆生产建设兵团）出具的属于监狱企业的证明文件的，对其投标报价按本章5.1.1条款的比例予以扣除，</w:t>
      </w:r>
      <w:r>
        <w:rPr>
          <w:rFonts w:hint="eastAsia" w:ascii="仿宋_GB2312" w:hAnsi="仿宋_GB2312" w:eastAsia="仿宋_GB2312" w:cs="仿宋_GB2312"/>
          <w:kern w:val="0"/>
          <w:szCs w:val="21"/>
        </w:rPr>
        <w:t>用扣除后的价格参与评审</w:t>
      </w:r>
      <w:r>
        <w:rPr>
          <w:rFonts w:hint="eastAsia" w:ascii="仿宋_GB2312" w:hAnsi="仿宋_GB2312" w:eastAsia="仿宋_GB2312" w:cs="仿宋_GB2312"/>
          <w:szCs w:val="21"/>
        </w:rPr>
        <w:t>。</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b/>
          <w:kern w:val="0"/>
          <w:szCs w:val="21"/>
        </w:rPr>
        <w:t>6.1.3</w:t>
      </w:r>
      <w:r>
        <w:rPr>
          <w:rFonts w:hint="eastAsia" w:ascii="仿宋_GB2312" w:hAnsi="仿宋_GB2312" w:eastAsia="仿宋_GB2312" w:cs="仿宋_GB2312"/>
          <w:szCs w:val="21"/>
        </w:rPr>
        <w:t>残疾人福利性单位视同小型、微型企业，在满足价格扣除条件且在</w:t>
      </w:r>
      <w:r>
        <w:rPr>
          <w:rFonts w:hint="eastAsia" w:ascii="仿宋_GB2312" w:hAnsi="仿宋_GB2312" w:eastAsia="仿宋_GB2312" w:cs="仿宋_GB2312"/>
          <w:kern w:val="0"/>
          <w:szCs w:val="21"/>
        </w:rPr>
        <w:t>投标文件中提供了《残疾人福利性单位声明函》的，</w:t>
      </w:r>
      <w:r>
        <w:rPr>
          <w:rFonts w:hint="eastAsia" w:ascii="仿宋_GB2312" w:hAnsi="仿宋_GB2312" w:eastAsia="仿宋_GB2312" w:cs="仿宋_GB2312"/>
          <w:szCs w:val="21"/>
        </w:rPr>
        <w:t>对其投标报价按本章5.1.1条款的比例予以扣除</w:t>
      </w:r>
      <w:r>
        <w:rPr>
          <w:rFonts w:hint="eastAsia" w:ascii="仿宋_GB2312" w:hAnsi="仿宋_GB2312" w:eastAsia="仿宋_GB2312" w:cs="仿宋_GB2312"/>
          <w:kern w:val="0"/>
          <w:szCs w:val="21"/>
        </w:rPr>
        <w:t>，用扣除后的价格参与评审。</w:t>
      </w:r>
    </w:p>
    <w:p>
      <w:pPr>
        <w:adjustRightInd w:val="0"/>
        <w:snapToGrid w:val="0"/>
        <w:spacing w:line="360" w:lineRule="auto"/>
        <w:ind w:firstLine="420" w:firstLineChars="200"/>
        <w:rPr>
          <w:rFonts w:ascii="仿宋_GB2312" w:hAnsi="仿宋_GB2312" w:eastAsia="仿宋_GB2312" w:cs="仿宋_GB2312"/>
          <w:b/>
          <w:szCs w:val="21"/>
        </w:rPr>
      </w:pPr>
      <w:r>
        <w:rPr>
          <w:rFonts w:hint="eastAsia" w:ascii="仿宋_GB2312" w:hAnsi="仿宋_GB2312" w:eastAsia="仿宋_GB2312" w:cs="仿宋_GB2312"/>
          <w:b/>
          <w:szCs w:val="21"/>
        </w:rPr>
        <w:t>6.1.4残疾人福利性单位属于小型、微型企业的，不重复享受政策。</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★7</w:t>
      </w:r>
      <w:r>
        <w:rPr>
          <w:rFonts w:hint="eastAsia" w:ascii="仿宋_GB2312" w:hAnsi="仿宋_GB2312" w:eastAsia="仿宋_GB2312" w:cs="仿宋_GB2312"/>
          <w:b/>
          <w:bCs/>
          <w:kern w:val="0"/>
          <w:szCs w:val="21"/>
        </w:rPr>
        <w:t>、投标无效情况详见投标人须知。</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★8</w:t>
      </w:r>
      <w:r>
        <w:rPr>
          <w:rFonts w:hint="eastAsia" w:ascii="仿宋_GB2312" w:hAnsi="仿宋_GB2312" w:eastAsia="仿宋_GB2312" w:cs="仿宋_GB2312"/>
          <w:b/>
          <w:bCs/>
          <w:kern w:val="0"/>
          <w:szCs w:val="21"/>
        </w:rPr>
        <w:t>、推荐中标候选人的原则</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详见第一章投标人须知第29条，具体处理办法如下：</w:t>
      </w:r>
    </w:p>
    <w:p>
      <w:pPr>
        <w:numPr>
          <w:ilvl w:val="0"/>
          <w:numId w:val="8"/>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采用最低评标价法的：</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扣除后的投标报价相同时，按投标报价由低至高排序；</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按前款不能区分的，优先采购节能产品、环境标志产品；</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按前款不能区分的，按技术指标优劣排序；</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其他情况，由评标委员会投票处理。</w:t>
      </w:r>
    </w:p>
    <w:p>
      <w:pPr>
        <w:numPr>
          <w:ilvl w:val="0"/>
          <w:numId w:val="8"/>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采用综合评分法的：</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得分相同的，按扣除后的投标报价由低到高顺序排序；</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按前款不能区分的，按投标报价由低至高顺序排序；</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按前款不能区分的，按技术指标优劣排序；</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其他情况，由评标委员会投票处理。</w:t>
      </w:r>
    </w:p>
    <w:p>
      <w:pPr>
        <w:adjustRightInd w:val="0"/>
        <w:snapToGrid w:val="0"/>
        <w:spacing w:line="360" w:lineRule="auto"/>
        <w:ind w:firstLine="420" w:firstLineChars="200"/>
        <w:rPr>
          <w:rFonts w:ascii="仿宋_GB2312" w:hAnsi="仿宋_GB2312" w:eastAsia="仿宋_GB2312" w:cs="仿宋_GB2312"/>
          <w:b/>
          <w:kern w:val="0"/>
          <w:szCs w:val="21"/>
        </w:rPr>
      </w:pPr>
      <w:bookmarkStart w:id="137" w:name="_Toc30297_WPSOffice_Level2"/>
      <w:r>
        <w:rPr>
          <w:rFonts w:hint="eastAsia" w:ascii="仿宋_GB2312" w:hAnsi="仿宋_GB2312" w:eastAsia="仿宋_GB2312" w:cs="仿宋_GB2312"/>
          <w:b/>
          <w:szCs w:val="21"/>
        </w:rPr>
        <w:t>三、</w:t>
      </w:r>
      <w:r>
        <w:rPr>
          <w:rFonts w:hint="eastAsia" w:ascii="仿宋_GB2312" w:hAnsi="仿宋_GB2312" w:eastAsia="仿宋_GB2312" w:cs="仿宋_GB2312"/>
          <w:b/>
          <w:kern w:val="0"/>
          <w:szCs w:val="21"/>
        </w:rPr>
        <w:t>确定中标人</w:t>
      </w:r>
      <w:bookmarkEnd w:id="137"/>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评标委员会根据全体评标委员会成员签字的原始评标记录和评标结果编写评标报告，并向采购人提交书面评标报告。</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采购人按照评标报告确定的中标候选人名单按顺序确定中标人，或由采购人委托评标委员会按照第一章投标人须知第31条规定的方式确定中标人。</w:t>
      </w:r>
    </w:p>
    <w:p>
      <w:pPr>
        <w:widowControl/>
        <w:jc w:val="left"/>
        <w:rPr>
          <w:rFonts w:ascii="仿宋_GB2312" w:hAnsi="仿宋_GB2312" w:eastAsia="仿宋_GB2312" w:cs="仿宋_GB2312"/>
          <w:szCs w:val="28"/>
        </w:rPr>
      </w:pPr>
      <w:r>
        <w:rPr>
          <w:rFonts w:hint="eastAsia" w:ascii="仿宋_GB2312" w:hAnsi="仿宋_GB2312" w:eastAsia="仿宋_GB2312" w:cs="仿宋_GB2312"/>
        </w:rPr>
        <w:br w:type="page"/>
      </w:r>
      <w:bookmarkStart w:id="138" w:name="_Toc32318_WPSOffice_Level2"/>
      <w:r>
        <w:rPr>
          <w:rFonts w:hint="eastAsia" w:ascii="仿宋_GB2312" w:hAnsi="仿宋_GB2312" w:eastAsia="仿宋_GB2312" w:cs="仿宋_GB2312"/>
          <w:b/>
          <w:bCs/>
          <w:szCs w:val="28"/>
        </w:rPr>
        <w:t xml:space="preserve">附件1    </w:t>
      </w:r>
      <w:r>
        <w:rPr>
          <w:rFonts w:hint="eastAsia" w:ascii="仿宋_GB2312" w:hAnsi="仿宋_GB2312" w:eastAsia="仿宋_GB2312" w:cs="仿宋_GB2312"/>
          <w:szCs w:val="28"/>
        </w:rPr>
        <w:t xml:space="preserve">               </w:t>
      </w:r>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资格审查表</w:t>
      </w:r>
      <w:bookmarkEnd w:id="138"/>
    </w:p>
    <w:tbl>
      <w:tblPr>
        <w:tblStyle w:val="19"/>
        <w:tblW w:w="9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3837"/>
        <w:gridCol w:w="3155"/>
        <w:gridCol w:w="630"/>
        <w:gridCol w:w="615"/>
        <w:gridCol w:w="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8" w:type="dxa"/>
            <w:vMerge w:val="restart"/>
            <w:noWrap w:val="0"/>
            <w:vAlign w:val="center"/>
          </w:tcPr>
          <w:p>
            <w:pPr>
              <w:ind w:left="-96" w:leftChars="-46" w:right="-86" w:rightChars="-41"/>
              <w:jc w:val="center"/>
              <w:rPr>
                <w:rFonts w:ascii="仿宋_GB2312" w:hAnsi="仿宋_GB2312" w:eastAsia="仿宋_GB2312" w:cs="仿宋_GB2312"/>
              </w:rPr>
            </w:pPr>
            <w:r>
              <w:rPr>
                <w:rFonts w:hint="eastAsia" w:ascii="仿宋_GB2312" w:hAnsi="仿宋_GB2312" w:eastAsia="仿宋_GB2312" w:cs="仿宋_GB2312"/>
              </w:rPr>
              <w:t>序号</w:t>
            </w:r>
          </w:p>
        </w:tc>
        <w:tc>
          <w:tcPr>
            <w:tcW w:w="3837" w:type="dxa"/>
            <w:vMerge w:val="restart"/>
            <w:noWrap w:val="0"/>
            <w:vAlign w:val="center"/>
          </w:tcPr>
          <w:p>
            <w:pPr>
              <w:pStyle w:val="4"/>
              <w:adjustRightInd w:val="0"/>
              <w:snapToGrid w:val="0"/>
              <w:spacing w:before="0" w:after="0" w:line="240" w:lineRule="auto"/>
              <w:ind w:left="-96" w:leftChars="-46" w:right="-86" w:rightChars="-41"/>
              <w:outlineLvl w:val="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审查项目</w:t>
            </w:r>
          </w:p>
        </w:tc>
        <w:tc>
          <w:tcPr>
            <w:tcW w:w="3155" w:type="dxa"/>
            <w:vMerge w:val="restart"/>
            <w:noWrap w:val="0"/>
            <w:vAlign w:val="center"/>
          </w:tcPr>
          <w:p>
            <w:pPr>
              <w:pStyle w:val="4"/>
              <w:adjustRightInd w:val="0"/>
              <w:snapToGrid w:val="0"/>
              <w:spacing w:before="0" w:after="0" w:line="240" w:lineRule="auto"/>
              <w:ind w:left="-96" w:leftChars="-46" w:right="-86" w:rightChars="-41"/>
              <w:outlineLvl w:val="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审查标准</w:t>
            </w:r>
          </w:p>
        </w:tc>
        <w:tc>
          <w:tcPr>
            <w:tcW w:w="1811" w:type="dxa"/>
            <w:gridSpan w:val="3"/>
            <w:noWrap w:val="0"/>
            <w:vAlign w:val="center"/>
          </w:tcPr>
          <w:p>
            <w:pPr>
              <w:pStyle w:val="4"/>
              <w:adjustRightInd w:val="0"/>
              <w:snapToGrid w:val="0"/>
              <w:spacing w:before="0" w:after="0" w:line="240" w:lineRule="auto"/>
              <w:ind w:left="-96" w:leftChars="-46" w:right="-86" w:rightChars="-41"/>
              <w:outlineLvl w:val="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68" w:type="dxa"/>
            <w:vMerge w:val="continue"/>
            <w:noWrap w:val="0"/>
            <w:vAlign w:val="center"/>
          </w:tcPr>
          <w:p>
            <w:pPr>
              <w:pStyle w:val="4"/>
              <w:adjustRightInd w:val="0"/>
              <w:snapToGrid w:val="0"/>
              <w:spacing w:before="0" w:after="0" w:line="240" w:lineRule="auto"/>
              <w:outlineLvl w:val="1"/>
              <w:rPr>
                <w:rFonts w:ascii="仿宋_GB2312" w:hAnsi="仿宋_GB2312" w:eastAsia="仿宋_GB2312" w:cs="仿宋_GB2312"/>
              </w:rPr>
            </w:pPr>
          </w:p>
        </w:tc>
        <w:tc>
          <w:tcPr>
            <w:tcW w:w="3837" w:type="dxa"/>
            <w:vMerge w:val="continue"/>
            <w:noWrap w:val="0"/>
            <w:vAlign w:val="center"/>
          </w:tcPr>
          <w:p>
            <w:pPr>
              <w:pStyle w:val="4"/>
              <w:adjustRightInd w:val="0"/>
              <w:snapToGrid w:val="0"/>
              <w:spacing w:before="0" w:after="0" w:line="240" w:lineRule="auto"/>
              <w:outlineLvl w:val="1"/>
              <w:rPr>
                <w:rFonts w:ascii="仿宋_GB2312" w:hAnsi="仿宋_GB2312" w:eastAsia="仿宋_GB2312" w:cs="仿宋_GB2312"/>
                <w:sz w:val="21"/>
                <w:szCs w:val="21"/>
              </w:rPr>
            </w:pPr>
          </w:p>
        </w:tc>
        <w:tc>
          <w:tcPr>
            <w:tcW w:w="3155" w:type="dxa"/>
            <w:vMerge w:val="continue"/>
            <w:noWrap w:val="0"/>
            <w:vAlign w:val="center"/>
          </w:tcPr>
          <w:p>
            <w:pPr>
              <w:pStyle w:val="4"/>
              <w:adjustRightInd w:val="0"/>
              <w:snapToGrid w:val="0"/>
              <w:spacing w:before="0" w:after="0" w:line="240" w:lineRule="auto"/>
              <w:outlineLvl w:val="1"/>
              <w:rPr>
                <w:rFonts w:ascii="仿宋_GB2312" w:hAnsi="仿宋_GB2312" w:eastAsia="仿宋_GB2312" w:cs="仿宋_GB2312"/>
                <w:sz w:val="21"/>
                <w:szCs w:val="21"/>
              </w:rPr>
            </w:pPr>
          </w:p>
        </w:tc>
        <w:tc>
          <w:tcPr>
            <w:tcW w:w="630" w:type="dxa"/>
            <w:noWrap w:val="0"/>
            <w:vAlign w:val="center"/>
          </w:tcPr>
          <w:p>
            <w:pPr>
              <w:pStyle w:val="4"/>
              <w:adjustRightInd w:val="0"/>
              <w:snapToGrid w:val="0"/>
              <w:spacing w:before="0" w:after="0" w:line="240" w:lineRule="auto"/>
              <w:outlineLvl w:val="1"/>
              <w:rPr>
                <w:rFonts w:ascii="仿宋_GB2312" w:hAnsi="仿宋_GB2312" w:eastAsia="仿宋_GB2312" w:cs="仿宋_GB2312"/>
                <w:sz w:val="21"/>
                <w:szCs w:val="21"/>
              </w:rPr>
            </w:pPr>
          </w:p>
        </w:tc>
        <w:tc>
          <w:tcPr>
            <w:tcW w:w="615" w:type="dxa"/>
            <w:noWrap w:val="0"/>
            <w:vAlign w:val="center"/>
          </w:tcPr>
          <w:p>
            <w:pPr>
              <w:pStyle w:val="4"/>
              <w:adjustRightInd w:val="0"/>
              <w:snapToGrid w:val="0"/>
              <w:spacing w:before="0" w:after="0" w:line="240" w:lineRule="auto"/>
              <w:outlineLvl w:val="1"/>
              <w:rPr>
                <w:rFonts w:ascii="仿宋_GB2312" w:hAnsi="仿宋_GB2312" w:eastAsia="仿宋_GB2312" w:cs="仿宋_GB2312"/>
                <w:sz w:val="21"/>
                <w:szCs w:val="21"/>
              </w:rPr>
            </w:pPr>
          </w:p>
        </w:tc>
        <w:tc>
          <w:tcPr>
            <w:tcW w:w="566" w:type="dxa"/>
            <w:noWrap w:val="0"/>
            <w:vAlign w:val="center"/>
          </w:tcPr>
          <w:p>
            <w:pPr>
              <w:pStyle w:val="4"/>
              <w:adjustRightInd w:val="0"/>
              <w:snapToGrid w:val="0"/>
              <w:spacing w:before="0" w:after="0" w:line="240" w:lineRule="auto"/>
              <w:outlineLvl w:val="1"/>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68" w:type="dxa"/>
            <w:noWrap w:val="0"/>
            <w:vAlign w:val="center"/>
          </w:tcPr>
          <w:p>
            <w:pPr>
              <w:snapToGrid w:val="0"/>
              <w:jc w:val="center"/>
              <w:rPr>
                <w:rFonts w:hint="eastAsia" w:ascii="仿宋" w:hAnsi="仿宋" w:eastAsia="仿宋" w:cs="仿宋"/>
              </w:rPr>
            </w:pPr>
            <w:r>
              <w:rPr>
                <w:rFonts w:hint="eastAsia" w:ascii="仿宋" w:hAnsi="仿宋" w:eastAsia="仿宋" w:cs="仿宋"/>
              </w:rPr>
              <w:t>1</w:t>
            </w:r>
          </w:p>
        </w:tc>
        <w:tc>
          <w:tcPr>
            <w:tcW w:w="3837" w:type="dxa"/>
            <w:noWrap w:val="0"/>
            <w:vAlign w:val="center"/>
          </w:tcPr>
          <w:p>
            <w:pPr>
              <w:snapToGrid w:val="0"/>
              <w:jc w:val="left"/>
              <w:rPr>
                <w:rFonts w:hint="eastAsia" w:ascii="仿宋" w:hAnsi="仿宋" w:eastAsia="仿宋" w:cs="仿宋"/>
                <w:b/>
                <w:szCs w:val="21"/>
              </w:rPr>
            </w:pPr>
            <w:r>
              <w:rPr>
                <w:rFonts w:hint="eastAsia" w:ascii="仿宋" w:hAnsi="仿宋" w:eastAsia="仿宋" w:cs="仿宋"/>
              </w:rPr>
              <w:t>营业执照或事业单位法人证书或执业许可证等证明文件或自然人的身份证明</w:t>
            </w:r>
          </w:p>
        </w:tc>
        <w:tc>
          <w:tcPr>
            <w:tcW w:w="3155" w:type="dxa"/>
            <w:noWrap w:val="0"/>
            <w:vAlign w:val="center"/>
          </w:tcPr>
          <w:p>
            <w:pPr>
              <w:pStyle w:val="4"/>
              <w:adjustRightInd w:val="0"/>
              <w:snapToGrid w:val="0"/>
              <w:spacing w:before="0" w:after="0" w:line="240" w:lineRule="auto"/>
              <w:jc w:val="both"/>
              <w:outlineLvl w:val="1"/>
              <w:rPr>
                <w:rFonts w:hint="eastAsia" w:ascii="仿宋" w:hAnsi="仿宋" w:eastAsia="仿宋" w:cs="仿宋"/>
                <w:b w:val="0"/>
                <w:sz w:val="21"/>
                <w:szCs w:val="21"/>
              </w:rPr>
            </w:pPr>
            <w:r>
              <w:rPr>
                <w:rFonts w:hint="eastAsia" w:ascii="仿宋" w:hAnsi="仿宋" w:eastAsia="仿宋" w:cs="仿宋"/>
                <w:b w:val="0"/>
                <w:sz w:val="21"/>
                <w:szCs w:val="21"/>
              </w:rPr>
              <w:t>1.按要求提供</w:t>
            </w:r>
          </w:p>
          <w:p>
            <w:pPr>
              <w:pStyle w:val="4"/>
              <w:adjustRightInd w:val="0"/>
              <w:snapToGrid w:val="0"/>
              <w:spacing w:before="0" w:after="0" w:line="240" w:lineRule="auto"/>
              <w:jc w:val="both"/>
              <w:outlineLvl w:val="1"/>
              <w:rPr>
                <w:rFonts w:hint="eastAsia" w:ascii="仿宋" w:hAnsi="仿宋" w:eastAsia="仿宋" w:cs="仿宋"/>
                <w:b w:val="0"/>
                <w:sz w:val="21"/>
                <w:szCs w:val="21"/>
              </w:rPr>
            </w:pPr>
            <w:r>
              <w:rPr>
                <w:rFonts w:hint="eastAsia" w:ascii="仿宋" w:hAnsi="仿宋" w:eastAsia="仿宋" w:cs="仿宋"/>
                <w:b w:val="0"/>
                <w:sz w:val="21"/>
                <w:szCs w:val="21"/>
              </w:rPr>
              <w:t>2.合法有效</w:t>
            </w:r>
          </w:p>
        </w:tc>
        <w:tc>
          <w:tcPr>
            <w:tcW w:w="630" w:type="dxa"/>
            <w:noWrap w:val="0"/>
            <w:vAlign w:val="center"/>
          </w:tcPr>
          <w:p>
            <w:pPr>
              <w:pStyle w:val="4"/>
              <w:adjustRightInd w:val="0"/>
              <w:snapToGrid w:val="0"/>
              <w:spacing w:before="0" w:after="0" w:line="240" w:lineRule="auto"/>
              <w:outlineLvl w:val="1"/>
              <w:rPr>
                <w:rFonts w:hint="eastAsia" w:ascii="仿宋" w:hAnsi="仿宋" w:eastAsia="仿宋" w:cs="仿宋"/>
                <w:sz w:val="21"/>
                <w:szCs w:val="21"/>
              </w:rPr>
            </w:pPr>
          </w:p>
        </w:tc>
        <w:tc>
          <w:tcPr>
            <w:tcW w:w="615" w:type="dxa"/>
            <w:noWrap w:val="0"/>
            <w:vAlign w:val="center"/>
          </w:tcPr>
          <w:p>
            <w:pPr>
              <w:pStyle w:val="4"/>
              <w:adjustRightInd w:val="0"/>
              <w:snapToGrid w:val="0"/>
              <w:spacing w:before="0" w:after="0" w:line="240" w:lineRule="auto"/>
              <w:outlineLvl w:val="1"/>
              <w:rPr>
                <w:rFonts w:hint="eastAsia" w:ascii="仿宋" w:hAnsi="仿宋" w:eastAsia="仿宋" w:cs="仿宋"/>
                <w:sz w:val="21"/>
                <w:szCs w:val="21"/>
              </w:rPr>
            </w:pPr>
          </w:p>
        </w:tc>
        <w:tc>
          <w:tcPr>
            <w:tcW w:w="566" w:type="dxa"/>
            <w:noWrap w:val="0"/>
            <w:vAlign w:val="center"/>
          </w:tcPr>
          <w:p>
            <w:pPr>
              <w:pStyle w:val="4"/>
              <w:adjustRightInd w:val="0"/>
              <w:snapToGrid w:val="0"/>
              <w:spacing w:before="0" w:after="0" w:line="240" w:lineRule="auto"/>
              <w:outlineLvl w:val="1"/>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68" w:type="dxa"/>
            <w:noWrap w:val="0"/>
            <w:vAlign w:val="center"/>
          </w:tcPr>
          <w:p>
            <w:pPr>
              <w:widowControl/>
              <w:snapToGrid w:val="0"/>
              <w:jc w:val="center"/>
              <w:rPr>
                <w:rFonts w:hint="eastAsia" w:ascii="仿宋" w:hAnsi="仿宋" w:eastAsia="仿宋" w:cs="仿宋"/>
              </w:rPr>
            </w:pPr>
            <w:r>
              <w:rPr>
                <w:rFonts w:hint="eastAsia" w:ascii="仿宋" w:hAnsi="仿宋" w:eastAsia="仿宋" w:cs="仿宋"/>
              </w:rPr>
              <w:t>2</w:t>
            </w:r>
          </w:p>
        </w:tc>
        <w:tc>
          <w:tcPr>
            <w:tcW w:w="3837" w:type="dxa"/>
            <w:noWrap w:val="0"/>
            <w:vAlign w:val="center"/>
          </w:tcPr>
          <w:p>
            <w:pPr>
              <w:widowControl/>
              <w:snapToGrid w:val="0"/>
              <w:jc w:val="left"/>
              <w:rPr>
                <w:rFonts w:hint="eastAsia" w:ascii="仿宋" w:hAnsi="仿宋" w:eastAsia="仿宋" w:cs="仿宋"/>
                <w:b/>
                <w:szCs w:val="21"/>
              </w:rPr>
            </w:pPr>
            <w:r>
              <w:rPr>
                <w:rFonts w:hint="eastAsia" w:ascii="仿宋" w:hAnsi="仿宋" w:eastAsia="仿宋" w:cs="仿宋"/>
              </w:rPr>
              <w:t>组织机构代码证</w:t>
            </w:r>
          </w:p>
        </w:tc>
        <w:tc>
          <w:tcPr>
            <w:tcW w:w="3155" w:type="dxa"/>
            <w:noWrap w:val="0"/>
            <w:vAlign w:val="center"/>
          </w:tcPr>
          <w:p>
            <w:pPr>
              <w:pStyle w:val="4"/>
              <w:adjustRightInd w:val="0"/>
              <w:snapToGrid w:val="0"/>
              <w:spacing w:before="0" w:after="0" w:line="240" w:lineRule="auto"/>
              <w:jc w:val="both"/>
              <w:outlineLvl w:val="1"/>
              <w:rPr>
                <w:rFonts w:hint="eastAsia" w:ascii="仿宋" w:hAnsi="仿宋" w:eastAsia="仿宋" w:cs="仿宋"/>
                <w:b w:val="0"/>
                <w:sz w:val="21"/>
                <w:szCs w:val="21"/>
              </w:rPr>
            </w:pPr>
            <w:r>
              <w:rPr>
                <w:rFonts w:hint="eastAsia" w:ascii="仿宋" w:hAnsi="仿宋" w:eastAsia="仿宋" w:cs="仿宋"/>
                <w:b w:val="0"/>
                <w:sz w:val="21"/>
                <w:szCs w:val="21"/>
              </w:rPr>
              <w:t>1.按要求提供</w:t>
            </w:r>
          </w:p>
          <w:p>
            <w:pPr>
              <w:pStyle w:val="4"/>
              <w:adjustRightInd w:val="0"/>
              <w:snapToGrid w:val="0"/>
              <w:spacing w:before="0" w:after="0" w:line="240" w:lineRule="auto"/>
              <w:jc w:val="both"/>
              <w:outlineLvl w:val="1"/>
              <w:rPr>
                <w:rFonts w:hint="eastAsia" w:ascii="仿宋" w:hAnsi="仿宋" w:eastAsia="仿宋" w:cs="仿宋"/>
                <w:b w:val="0"/>
                <w:sz w:val="21"/>
                <w:szCs w:val="21"/>
              </w:rPr>
            </w:pPr>
            <w:r>
              <w:rPr>
                <w:rFonts w:hint="eastAsia" w:ascii="仿宋" w:hAnsi="仿宋" w:eastAsia="仿宋" w:cs="仿宋"/>
                <w:b w:val="0"/>
                <w:sz w:val="21"/>
                <w:szCs w:val="21"/>
              </w:rPr>
              <w:t>2.合法有效</w:t>
            </w:r>
          </w:p>
        </w:tc>
        <w:tc>
          <w:tcPr>
            <w:tcW w:w="630" w:type="dxa"/>
            <w:noWrap w:val="0"/>
            <w:vAlign w:val="top"/>
          </w:tcPr>
          <w:p>
            <w:pPr>
              <w:pStyle w:val="4"/>
              <w:adjustRightInd w:val="0"/>
              <w:snapToGrid w:val="0"/>
              <w:spacing w:before="0" w:after="0" w:line="240" w:lineRule="auto"/>
              <w:outlineLvl w:val="1"/>
              <w:rPr>
                <w:rFonts w:hint="eastAsia" w:ascii="仿宋" w:hAnsi="仿宋" w:eastAsia="仿宋" w:cs="仿宋"/>
                <w:sz w:val="21"/>
                <w:szCs w:val="21"/>
              </w:rPr>
            </w:pPr>
          </w:p>
        </w:tc>
        <w:tc>
          <w:tcPr>
            <w:tcW w:w="615" w:type="dxa"/>
            <w:noWrap w:val="0"/>
            <w:vAlign w:val="top"/>
          </w:tcPr>
          <w:p>
            <w:pPr>
              <w:pStyle w:val="4"/>
              <w:adjustRightInd w:val="0"/>
              <w:snapToGrid w:val="0"/>
              <w:spacing w:before="0" w:after="0" w:line="240" w:lineRule="auto"/>
              <w:outlineLvl w:val="1"/>
              <w:rPr>
                <w:rFonts w:hint="eastAsia" w:ascii="仿宋" w:hAnsi="仿宋" w:eastAsia="仿宋" w:cs="仿宋"/>
                <w:sz w:val="21"/>
                <w:szCs w:val="21"/>
              </w:rPr>
            </w:pPr>
          </w:p>
        </w:tc>
        <w:tc>
          <w:tcPr>
            <w:tcW w:w="566"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68" w:type="dxa"/>
            <w:noWrap w:val="0"/>
            <w:vAlign w:val="center"/>
          </w:tcPr>
          <w:p>
            <w:pPr>
              <w:widowControl/>
              <w:snapToGrid w:val="0"/>
              <w:jc w:val="center"/>
              <w:rPr>
                <w:rFonts w:hint="eastAsia" w:ascii="仿宋" w:hAnsi="仿宋" w:eastAsia="仿宋" w:cs="仿宋"/>
              </w:rPr>
            </w:pPr>
            <w:r>
              <w:rPr>
                <w:rFonts w:hint="eastAsia" w:ascii="仿宋" w:hAnsi="仿宋" w:eastAsia="仿宋" w:cs="仿宋"/>
              </w:rPr>
              <w:t>3</w:t>
            </w:r>
          </w:p>
        </w:tc>
        <w:tc>
          <w:tcPr>
            <w:tcW w:w="3837" w:type="dxa"/>
            <w:noWrap w:val="0"/>
            <w:vAlign w:val="center"/>
          </w:tcPr>
          <w:p>
            <w:pPr>
              <w:widowControl/>
              <w:snapToGrid w:val="0"/>
              <w:jc w:val="left"/>
              <w:rPr>
                <w:rFonts w:hint="eastAsia" w:ascii="仿宋" w:hAnsi="仿宋" w:eastAsia="仿宋" w:cs="仿宋"/>
                <w:b/>
                <w:szCs w:val="21"/>
              </w:rPr>
            </w:pPr>
            <w:r>
              <w:rPr>
                <w:rFonts w:hint="eastAsia" w:ascii="仿宋" w:hAnsi="仿宋" w:eastAsia="仿宋" w:cs="仿宋"/>
              </w:rPr>
              <w:t>税务登记证</w:t>
            </w:r>
          </w:p>
        </w:tc>
        <w:tc>
          <w:tcPr>
            <w:tcW w:w="3155" w:type="dxa"/>
            <w:noWrap w:val="0"/>
            <w:vAlign w:val="center"/>
          </w:tcPr>
          <w:p>
            <w:pPr>
              <w:pStyle w:val="4"/>
              <w:adjustRightInd w:val="0"/>
              <w:snapToGrid w:val="0"/>
              <w:spacing w:before="0" w:after="0" w:line="240" w:lineRule="auto"/>
              <w:jc w:val="both"/>
              <w:outlineLvl w:val="1"/>
              <w:rPr>
                <w:rFonts w:hint="eastAsia" w:ascii="仿宋" w:hAnsi="仿宋" w:eastAsia="仿宋" w:cs="仿宋"/>
                <w:b w:val="0"/>
                <w:sz w:val="21"/>
                <w:szCs w:val="21"/>
              </w:rPr>
            </w:pPr>
            <w:r>
              <w:rPr>
                <w:rFonts w:hint="eastAsia" w:ascii="仿宋" w:hAnsi="仿宋" w:eastAsia="仿宋" w:cs="仿宋"/>
                <w:b w:val="0"/>
                <w:sz w:val="21"/>
                <w:szCs w:val="21"/>
              </w:rPr>
              <w:t>1.按要求提供</w:t>
            </w:r>
          </w:p>
          <w:p>
            <w:pPr>
              <w:pStyle w:val="4"/>
              <w:adjustRightInd w:val="0"/>
              <w:snapToGrid w:val="0"/>
              <w:spacing w:before="0" w:after="0" w:line="240" w:lineRule="auto"/>
              <w:jc w:val="both"/>
              <w:outlineLvl w:val="1"/>
              <w:rPr>
                <w:rFonts w:hint="eastAsia" w:ascii="仿宋" w:hAnsi="仿宋" w:eastAsia="仿宋" w:cs="仿宋"/>
                <w:b w:val="0"/>
                <w:sz w:val="21"/>
                <w:szCs w:val="21"/>
              </w:rPr>
            </w:pPr>
            <w:r>
              <w:rPr>
                <w:rFonts w:hint="eastAsia" w:ascii="仿宋" w:hAnsi="仿宋" w:eastAsia="仿宋" w:cs="仿宋"/>
                <w:b w:val="0"/>
                <w:sz w:val="21"/>
                <w:szCs w:val="21"/>
              </w:rPr>
              <w:t>2.合法有效</w:t>
            </w:r>
          </w:p>
        </w:tc>
        <w:tc>
          <w:tcPr>
            <w:tcW w:w="630" w:type="dxa"/>
            <w:noWrap w:val="0"/>
            <w:vAlign w:val="top"/>
          </w:tcPr>
          <w:p>
            <w:pPr>
              <w:pStyle w:val="4"/>
              <w:adjustRightInd w:val="0"/>
              <w:snapToGrid w:val="0"/>
              <w:spacing w:before="0" w:after="0" w:line="240" w:lineRule="auto"/>
              <w:outlineLvl w:val="1"/>
              <w:rPr>
                <w:rFonts w:hint="eastAsia" w:ascii="仿宋" w:hAnsi="仿宋" w:eastAsia="仿宋" w:cs="仿宋"/>
                <w:sz w:val="21"/>
                <w:szCs w:val="21"/>
              </w:rPr>
            </w:pPr>
          </w:p>
        </w:tc>
        <w:tc>
          <w:tcPr>
            <w:tcW w:w="615" w:type="dxa"/>
            <w:noWrap w:val="0"/>
            <w:vAlign w:val="top"/>
          </w:tcPr>
          <w:p>
            <w:pPr>
              <w:pStyle w:val="4"/>
              <w:adjustRightInd w:val="0"/>
              <w:snapToGrid w:val="0"/>
              <w:spacing w:before="0" w:after="0" w:line="240" w:lineRule="auto"/>
              <w:outlineLvl w:val="1"/>
              <w:rPr>
                <w:rFonts w:hint="eastAsia" w:ascii="仿宋" w:hAnsi="仿宋" w:eastAsia="仿宋" w:cs="仿宋"/>
                <w:sz w:val="21"/>
                <w:szCs w:val="21"/>
              </w:rPr>
            </w:pPr>
          </w:p>
        </w:tc>
        <w:tc>
          <w:tcPr>
            <w:tcW w:w="566"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68" w:type="dxa"/>
            <w:noWrap w:val="0"/>
            <w:vAlign w:val="center"/>
          </w:tcPr>
          <w:p>
            <w:pPr>
              <w:widowControl/>
              <w:snapToGrid w:val="0"/>
              <w:jc w:val="center"/>
              <w:rPr>
                <w:rFonts w:hint="eastAsia" w:ascii="仿宋" w:hAnsi="仿宋" w:eastAsia="仿宋" w:cs="仿宋"/>
              </w:rPr>
            </w:pPr>
            <w:r>
              <w:rPr>
                <w:rFonts w:hint="eastAsia" w:ascii="仿宋" w:hAnsi="仿宋" w:eastAsia="仿宋" w:cs="仿宋"/>
                <w:szCs w:val="21"/>
              </w:rPr>
              <w:t>4</w:t>
            </w:r>
          </w:p>
        </w:tc>
        <w:tc>
          <w:tcPr>
            <w:tcW w:w="3837" w:type="dxa"/>
            <w:noWrap w:val="0"/>
            <w:vAlign w:val="center"/>
          </w:tcPr>
          <w:p>
            <w:pPr>
              <w:widowControl/>
              <w:snapToGrid w:val="0"/>
              <w:jc w:val="left"/>
              <w:rPr>
                <w:rFonts w:hint="eastAsia" w:ascii="仿宋" w:hAnsi="仿宋" w:eastAsia="仿宋" w:cs="仿宋"/>
                <w:b/>
                <w:szCs w:val="21"/>
              </w:rPr>
            </w:pPr>
            <w:r>
              <w:rPr>
                <w:rFonts w:hint="eastAsia" w:ascii="仿宋" w:hAnsi="仿宋" w:eastAsia="仿宋" w:cs="仿宋"/>
                <w:szCs w:val="21"/>
              </w:rPr>
              <w:t>法定代表人（或非法人组织负责人）身份证明书</w:t>
            </w:r>
          </w:p>
        </w:tc>
        <w:tc>
          <w:tcPr>
            <w:tcW w:w="3155" w:type="dxa"/>
            <w:noWrap w:val="0"/>
            <w:vAlign w:val="center"/>
          </w:tcPr>
          <w:p>
            <w:pPr>
              <w:pStyle w:val="4"/>
              <w:adjustRightInd w:val="0"/>
              <w:snapToGrid w:val="0"/>
              <w:spacing w:before="0" w:after="0" w:line="240" w:lineRule="auto"/>
              <w:jc w:val="both"/>
              <w:outlineLvl w:val="1"/>
              <w:rPr>
                <w:rFonts w:hint="eastAsia" w:ascii="仿宋" w:hAnsi="仿宋" w:eastAsia="仿宋" w:cs="仿宋"/>
                <w:b w:val="0"/>
                <w:sz w:val="21"/>
                <w:szCs w:val="21"/>
              </w:rPr>
            </w:pPr>
            <w:r>
              <w:rPr>
                <w:rFonts w:hint="eastAsia" w:ascii="仿宋" w:hAnsi="仿宋" w:eastAsia="仿宋" w:cs="仿宋"/>
                <w:b w:val="0"/>
                <w:sz w:val="21"/>
                <w:szCs w:val="21"/>
              </w:rPr>
              <w:t>1.按给定格式填写</w:t>
            </w:r>
          </w:p>
          <w:p>
            <w:pPr>
              <w:pStyle w:val="4"/>
              <w:adjustRightInd w:val="0"/>
              <w:snapToGrid w:val="0"/>
              <w:spacing w:before="0" w:after="0" w:line="240" w:lineRule="auto"/>
              <w:jc w:val="both"/>
              <w:outlineLvl w:val="1"/>
              <w:rPr>
                <w:rFonts w:hint="eastAsia" w:ascii="仿宋" w:hAnsi="仿宋" w:eastAsia="仿宋" w:cs="仿宋"/>
                <w:b w:val="0"/>
                <w:sz w:val="21"/>
                <w:szCs w:val="21"/>
              </w:rPr>
            </w:pPr>
            <w:r>
              <w:rPr>
                <w:rFonts w:hint="eastAsia" w:ascii="仿宋" w:hAnsi="仿宋" w:eastAsia="仿宋" w:cs="仿宋"/>
                <w:b w:val="0"/>
                <w:sz w:val="21"/>
                <w:szCs w:val="21"/>
              </w:rPr>
              <w:t>2.按规定签章</w:t>
            </w:r>
          </w:p>
        </w:tc>
        <w:tc>
          <w:tcPr>
            <w:tcW w:w="630" w:type="dxa"/>
            <w:noWrap w:val="0"/>
            <w:vAlign w:val="top"/>
          </w:tcPr>
          <w:p>
            <w:pPr>
              <w:pStyle w:val="4"/>
              <w:adjustRightInd w:val="0"/>
              <w:snapToGrid w:val="0"/>
              <w:spacing w:before="0" w:after="0" w:line="240" w:lineRule="auto"/>
              <w:outlineLvl w:val="1"/>
              <w:rPr>
                <w:rFonts w:hint="eastAsia" w:ascii="仿宋" w:hAnsi="仿宋" w:eastAsia="仿宋" w:cs="仿宋"/>
                <w:sz w:val="21"/>
                <w:szCs w:val="21"/>
              </w:rPr>
            </w:pPr>
          </w:p>
        </w:tc>
        <w:tc>
          <w:tcPr>
            <w:tcW w:w="615" w:type="dxa"/>
            <w:noWrap w:val="0"/>
            <w:vAlign w:val="top"/>
          </w:tcPr>
          <w:p>
            <w:pPr>
              <w:pStyle w:val="4"/>
              <w:adjustRightInd w:val="0"/>
              <w:snapToGrid w:val="0"/>
              <w:spacing w:before="0" w:after="0" w:line="240" w:lineRule="auto"/>
              <w:outlineLvl w:val="1"/>
              <w:rPr>
                <w:rFonts w:hint="eastAsia" w:ascii="仿宋" w:hAnsi="仿宋" w:eastAsia="仿宋" w:cs="仿宋"/>
                <w:sz w:val="21"/>
                <w:szCs w:val="21"/>
              </w:rPr>
            </w:pPr>
          </w:p>
        </w:tc>
        <w:tc>
          <w:tcPr>
            <w:tcW w:w="566"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68" w:type="dxa"/>
            <w:noWrap w:val="0"/>
            <w:vAlign w:val="center"/>
          </w:tcPr>
          <w:p>
            <w:pPr>
              <w:widowControl/>
              <w:snapToGrid w:val="0"/>
              <w:jc w:val="center"/>
              <w:rPr>
                <w:rFonts w:hint="eastAsia" w:ascii="仿宋" w:hAnsi="仿宋" w:eastAsia="仿宋" w:cs="仿宋"/>
              </w:rPr>
            </w:pPr>
            <w:r>
              <w:rPr>
                <w:rFonts w:hint="eastAsia" w:ascii="仿宋" w:hAnsi="仿宋" w:eastAsia="仿宋" w:cs="仿宋"/>
              </w:rPr>
              <w:t>5</w:t>
            </w:r>
          </w:p>
        </w:tc>
        <w:tc>
          <w:tcPr>
            <w:tcW w:w="3837" w:type="dxa"/>
            <w:noWrap w:val="0"/>
            <w:vAlign w:val="center"/>
          </w:tcPr>
          <w:p>
            <w:pPr>
              <w:widowControl/>
              <w:snapToGrid w:val="0"/>
              <w:jc w:val="left"/>
              <w:rPr>
                <w:rFonts w:hint="eastAsia" w:ascii="仿宋" w:hAnsi="仿宋" w:eastAsia="仿宋" w:cs="仿宋"/>
                <w:b/>
                <w:szCs w:val="21"/>
              </w:rPr>
            </w:pPr>
            <w:r>
              <w:rPr>
                <w:rFonts w:hint="eastAsia" w:ascii="仿宋" w:hAnsi="仿宋" w:eastAsia="仿宋" w:cs="仿宋"/>
              </w:rPr>
              <w:t>法定代表人（或非法人组织</w:t>
            </w:r>
            <w:r>
              <w:rPr>
                <w:rFonts w:hint="eastAsia" w:ascii="仿宋" w:hAnsi="仿宋" w:eastAsia="仿宋" w:cs="仿宋"/>
                <w:szCs w:val="21"/>
              </w:rPr>
              <w:t>负责人）</w:t>
            </w:r>
            <w:r>
              <w:rPr>
                <w:rFonts w:hint="eastAsia" w:ascii="仿宋" w:hAnsi="仿宋" w:eastAsia="仿宋" w:cs="仿宋"/>
              </w:rPr>
              <w:t>授权委托书</w:t>
            </w:r>
            <w:r>
              <w:rPr>
                <w:rFonts w:hint="eastAsia" w:ascii="仿宋" w:hAnsi="仿宋" w:eastAsia="仿宋" w:cs="仿宋"/>
                <w:szCs w:val="21"/>
              </w:rPr>
              <w:t>（授权委托人参加投标的须提供）</w:t>
            </w:r>
          </w:p>
        </w:tc>
        <w:tc>
          <w:tcPr>
            <w:tcW w:w="3155" w:type="dxa"/>
            <w:noWrap w:val="0"/>
            <w:vAlign w:val="center"/>
          </w:tcPr>
          <w:p>
            <w:pPr>
              <w:pStyle w:val="4"/>
              <w:adjustRightInd w:val="0"/>
              <w:snapToGrid w:val="0"/>
              <w:spacing w:before="0" w:after="0" w:line="240" w:lineRule="auto"/>
              <w:jc w:val="both"/>
              <w:outlineLvl w:val="1"/>
              <w:rPr>
                <w:rFonts w:hint="eastAsia" w:ascii="仿宋" w:hAnsi="仿宋" w:eastAsia="仿宋" w:cs="仿宋"/>
                <w:b w:val="0"/>
                <w:sz w:val="21"/>
                <w:szCs w:val="21"/>
              </w:rPr>
            </w:pPr>
            <w:r>
              <w:rPr>
                <w:rFonts w:hint="eastAsia" w:ascii="仿宋" w:hAnsi="仿宋" w:eastAsia="仿宋" w:cs="仿宋"/>
                <w:b w:val="0"/>
                <w:sz w:val="21"/>
                <w:szCs w:val="21"/>
              </w:rPr>
              <w:t>1.按给定格式填写</w:t>
            </w:r>
          </w:p>
          <w:p>
            <w:pPr>
              <w:pStyle w:val="4"/>
              <w:adjustRightInd w:val="0"/>
              <w:snapToGrid w:val="0"/>
              <w:spacing w:before="0" w:after="0" w:line="240" w:lineRule="auto"/>
              <w:jc w:val="both"/>
              <w:outlineLvl w:val="1"/>
              <w:rPr>
                <w:rFonts w:hint="eastAsia" w:ascii="仿宋" w:hAnsi="仿宋" w:eastAsia="仿宋" w:cs="仿宋"/>
                <w:b w:val="0"/>
                <w:sz w:val="21"/>
                <w:szCs w:val="21"/>
              </w:rPr>
            </w:pPr>
            <w:r>
              <w:rPr>
                <w:rFonts w:hint="eastAsia" w:ascii="仿宋" w:hAnsi="仿宋" w:eastAsia="仿宋" w:cs="仿宋"/>
                <w:b w:val="0"/>
                <w:sz w:val="21"/>
                <w:szCs w:val="21"/>
              </w:rPr>
              <w:t>2.按规定签章</w:t>
            </w:r>
          </w:p>
        </w:tc>
        <w:tc>
          <w:tcPr>
            <w:tcW w:w="630" w:type="dxa"/>
            <w:noWrap w:val="0"/>
            <w:vAlign w:val="top"/>
          </w:tcPr>
          <w:p>
            <w:pPr>
              <w:pStyle w:val="4"/>
              <w:adjustRightInd w:val="0"/>
              <w:snapToGrid w:val="0"/>
              <w:spacing w:before="0" w:after="0" w:line="240" w:lineRule="auto"/>
              <w:outlineLvl w:val="1"/>
              <w:rPr>
                <w:rFonts w:hint="eastAsia" w:ascii="仿宋" w:hAnsi="仿宋" w:eastAsia="仿宋" w:cs="仿宋"/>
                <w:sz w:val="21"/>
                <w:szCs w:val="21"/>
              </w:rPr>
            </w:pPr>
          </w:p>
        </w:tc>
        <w:tc>
          <w:tcPr>
            <w:tcW w:w="615" w:type="dxa"/>
            <w:noWrap w:val="0"/>
            <w:vAlign w:val="top"/>
          </w:tcPr>
          <w:p>
            <w:pPr>
              <w:pStyle w:val="4"/>
              <w:adjustRightInd w:val="0"/>
              <w:snapToGrid w:val="0"/>
              <w:spacing w:before="0" w:after="0" w:line="240" w:lineRule="auto"/>
              <w:outlineLvl w:val="1"/>
              <w:rPr>
                <w:rFonts w:hint="eastAsia" w:ascii="仿宋" w:hAnsi="仿宋" w:eastAsia="仿宋" w:cs="仿宋"/>
                <w:sz w:val="21"/>
                <w:szCs w:val="21"/>
              </w:rPr>
            </w:pPr>
          </w:p>
        </w:tc>
        <w:tc>
          <w:tcPr>
            <w:tcW w:w="566"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68" w:type="dxa"/>
            <w:noWrap w:val="0"/>
            <w:vAlign w:val="center"/>
          </w:tcPr>
          <w:p>
            <w:pPr>
              <w:widowControl/>
              <w:snapToGrid w:val="0"/>
              <w:jc w:val="center"/>
              <w:rPr>
                <w:rFonts w:hint="eastAsia" w:ascii="仿宋" w:hAnsi="仿宋" w:eastAsia="仿宋" w:cs="仿宋"/>
              </w:rPr>
            </w:pPr>
            <w:r>
              <w:rPr>
                <w:rFonts w:hint="eastAsia" w:ascii="仿宋" w:hAnsi="仿宋" w:eastAsia="仿宋" w:cs="仿宋"/>
              </w:rPr>
              <w:t>6</w:t>
            </w:r>
          </w:p>
        </w:tc>
        <w:tc>
          <w:tcPr>
            <w:tcW w:w="3837" w:type="dxa"/>
            <w:noWrap w:val="0"/>
            <w:vAlign w:val="center"/>
          </w:tcPr>
          <w:p>
            <w:pPr>
              <w:widowControl/>
              <w:snapToGrid w:val="0"/>
              <w:jc w:val="left"/>
              <w:rPr>
                <w:rFonts w:hint="eastAsia" w:ascii="仿宋" w:hAnsi="仿宋" w:eastAsia="仿宋" w:cs="仿宋"/>
                <w:b/>
                <w:szCs w:val="21"/>
              </w:rPr>
            </w:pPr>
            <w:r>
              <w:rPr>
                <w:rFonts w:hint="eastAsia" w:ascii="仿宋" w:hAnsi="仿宋" w:eastAsia="仿宋" w:cs="仿宋"/>
              </w:rPr>
              <w:t>具有良好的商业信誉和健全的财务会计制度的承诺函</w:t>
            </w:r>
          </w:p>
        </w:tc>
        <w:tc>
          <w:tcPr>
            <w:tcW w:w="3155" w:type="dxa"/>
            <w:noWrap w:val="0"/>
            <w:vAlign w:val="center"/>
          </w:tcPr>
          <w:p>
            <w:pPr>
              <w:pStyle w:val="4"/>
              <w:adjustRightInd w:val="0"/>
              <w:snapToGrid w:val="0"/>
              <w:spacing w:before="0" w:after="0" w:line="240" w:lineRule="auto"/>
              <w:jc w:val="both"/>
              <w:outlineLvl w:val="1"/>
              <w:rPr>
                <w:rFonts w:hint="eastAsia" w:ascii="仿宋" w:hAnsi="仿宋" w:eastAsia="仿宋" w:cs="仿宋"/>
                <w:b w:val="0"/>
                <w:sz w:val="21"/>
                <w:szCs w:val="21"/>
              </w:rPr>
            </w:pPr>
            <w:r>
              <w:rPr>
                <w:rFonts w:hint="eastAsia" w:ascii="仿宋" w:hAnsi="仿宋" w:eastAsia="仿宋" w:cs="仿宋"/>
                <w:b w:val="0"/>
                <w:sz w:val="21"/>
                <w:szCs w:val="21"/>
              </w:rPr>
              <w:t>1.按要求提供</w:t>
            </w:r>
          </w:p>
          <w:p>
            <w:pPr>
              <w:pStyle w:val="4"/>
              <w:adjustRightInd w:val="0"/>
              <w:snapToGrid w:val="0"/>
              <w:spacing w:before="0" w:after="0" w:line="240" w:lineRule="auto"/>
              <w:jc w:val="both"/>
              <w:outlineLvl w:val="1"/>
              <w:rPr>
                <w:rFonts w:hint="eastAsia" w:ascii="仿宋" w:hAnsi="仿宋" w:eastAsia="仿宋" w:cs="仿宋"/>
                <w:b w:val="0"/>
                <w:sz w:val="21"/>
                <w:szCs w:val="21"/>
              </w:rPr>
            </w:pPr>
            <w:r>
              <w:rPr>
                <w:rFonts w:hint="eastAsia" w:ascii="仿宋" w:hAnsi="仿宋" w:eastAsia="仿宋" w:cs="仿宋"/>
                <w:b w:val="0"/>
                <w:sz w:val="21"/>
                <w:szCs w:val="21"/>
              </w:rPr>
              <w:t>2.合法有效</w:t>
            </w:r>
          </w:p>
        </w:tc>
        <w:tc>
          <w:tcPr>
            <w:tcW w:w="630" w:type="dxa"/>
            <w:noWrap w:val="0"/>
            <w:vAlign w:val="top"/>
          </w:tcPr>
          <w:p>
            <w:pPr>
              <w:pStyle w:val="4"/>
              <w:adjustRightInd w:val="0"/>
              <w:snapToGrid w:val="0"/>
              <w:spacing w:before="0" w:after="0" w:line="240" w:lineRule="auto"/>
              <w:outlineLvl w:val="1"/>
              <w:rPr>
                <w:rFonts w:hint="eastAsia" w:ascii="仿宋" w:hAnsi="仿宋" w:eastAsia="仿宋" w:cs="仿宋"/>
                <w:sz w:val="21"/>
                <w:szCs w:val="21"/>
              </w:rPr>
            </w:pPr>
          </w:p>
        </w:tc>
        <w:tc>
          <w:tcPr>
            <w:tcW w:w="615" w:type="dxa"/>
            <w:noWrap w:val="0"/>
            <w:vAlign w:val="top"/>
          </w:tcPr>
          <w:p>
            <w:pPr>
              <w:pStyle w:val="4"/>
              <w:adjustRightInd w:val="0"/>
              <w:snapToGrid w:val="0"/>
              <w:spacing w:before="0" w:after="0" w:line="240" w:lineRule="auto"/>
              <w:outlineLvl w:val="1"/>
              <w:rPr>
                <w:rFonts w:hint="eastAsia" w:ascii="仿宋" w:hAnsi="仿宋" w:eastAsia="仿宋" w:cs="仿宋"/>
                <w:sz w:val="21"/>
                <w:szCs w:val="21"/>
              </w:rPr>
            </w:pPr>
          </w:p>
        </w:tc>
        <w:tc>
          <w:tcPr>
            <w:tcW w:w="566"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68" w:type="dxa"/>
            <w:noWrap w:val="0"/>
            <w:vAlign w:val="center"/>
          </w:tcPr>
          <w:p>
            <w:pPr>
              <w:snapToGrid w:val="0"/>
              <w:jc w:val="center"/>
              <w:rPr>
                <w:rFonts w:hint="eastAsia" w:ascii="仿宋" w:hAnsi="仿宋" w:eastAsia="仿宋" w:cs="仿宋"/>
              </w:rPr>
            </w:pPr>
            <w:r>
              <w:rPr>
                <w:rFonts w:hint="eastAsia" w:ascii="仿宋" w:hAnsi="仿宋" w:eastAsia="仿宋" w:cs="仿宋"/>
              </w:rPr>
              <w:t>7</w:t>
            </w:r>
          </w:p>
        </w:tc>
        <w:tc>
          <w:tcPr>
            <w:tcW w:w="3837" w:type="dxa"/>
            <w:noWrap w:val="0"/>
            <w:vAlign w:val="center"/>
          </w:tcPr>
          <w:p>
            <w:pPr>
              <w:snapToGrid w:val="0"/>
              <w:jc w:val="left"/>
              <w:rPr>
                <w:rFonts w:hint="eastAsia" w:ascii="仿宋" w:hAnsi="仿宋" w:eastAsia="仿宋" w:cs="仿宋"/>
                <w:b/>
                <w:szCs w:val="21"/>
              </w:rPr>
            </w:pPr>
            <w:r>
              <w:rPr>
                <w:rFonts w:hint="eastAsia" w:ascii="仿宋" w:hAnsi="仿宋" w:eastAsia="仿宋" w:cs="仿宋"/>
              </w:rPr>
              <w:t>开标时间前六个月内任一个月的依法缴纳税收的缴款凭据</w:t>
            </w:r>
          </w:p>
        </w:tc>
        <w:tc>
          <w:tcPr>
            <w:tcW w:w="3155" w:type="dxa"/>
            <w:noWrap w:val="0"/>
            <w:vAlign w:val="center"/>
          </w:tcPr>
          <w:p>
            <w:pPr>
              <w:pStyle w:val="4"/>
              <w:adjustRightInd w:val="0"/>
              <w:snapToGrid w:val="0"/>
              <w:spacing w:before="0" w:after="0" w:line="240" w:lineRule="auto"/>
              <w:jc w:val="both"/>
              <w:outlineLvl w:val="1"/>
              <w:rPr>
                <w:rFonts w:hint="eastAsia" w:ascii="仿宋" w:hAnsi="仿宋" w:eastAsia="仿宋" w:cs="仿宋"/>
                <w:b w:val="0"/>
                <w:sz w:val="21"/>
                <w:szCs w:val="21"/>
              </w:rPr>
            </w:pPr>
            <w:r>
              <w:rPr>
                <w:rFonts w:hint="eastAsia" w:ascii="仿宋" w:hAnsi="仿宋" w:eastAsia="仿宋" w:cs="仿宋"/>
                <w:b w:val="0"/>
                <w:sz w:val="21"/>
                <w:szCs w:val="21"/>
              </w:rPr>
              <w:t>1.按要求提供</w:t>
            </w:r>
          </w:p>
          <w:p>
            <w:pPr>
              <w:pStyle w:val="4"/>
              <w:adjustRightInd w:val="0"/>
              <w:snapToGrid w:val="0"/>
              <w:spacing w:before="0" w:after="0" w:line="240" w:lineRule="auto"/>
              <w:jc w:val="both"/>
              <w:outlineLvl w:val="1"/>
              <w:rPr>
                <w:rFonts w:hint="eastAsia" w:ascii="仿宋" w:hAnsi="仿宋" w:eastAsia="仿宋" w:cs="仿宋"/>
                <w:b w:val="0"/>
                <w:sz w:val="21"/>
                <w:szCs w:val="21"/>
              </w:rPr>
            </w:pPr>
            <w:r>
              <w:rPr>
                <w:rFonts w:hint="eastAsia" w:ascii="仿宋" w:hAnsi="仿宋" w:eastAsia="仿宋" w:cs="仿宋"/>
                <w:b w:val="0"/>
                <w:sz w:val="21"/>
                <w:szCs w:val="21"/>
              </w:rPr>
              <w:t>2.合法有效</w:t>
            </w:r>
          </w:p>
        </w:tc>
        <w:tc>
          <w:tcPr>
            <w:tcW w:w="630" w:type="dxa"/>
            <w:noWrap w:val="0"/>
            <w:vAlign w:val="top"/>
          </w:tcPr>
          <w:p>
            <w:pPr>
              <w:pStyle w:val="4"/>
              <w:adjustRightInd w:val="0"/>
              <w:snapToGrid w:val="0"/>
              <w:spacing w:before="0" w:after="0" w:line="240" w:lineRule="auto"/>
              <w:outlineLvl w:val="1"/>
              <w:rPr>
                <w:rFonts w:hint="eastAsia" w:ascii="仿宋" w:hAnsi="仿宋" w:eastAsia="仿宋" w:cs="仿宋"/>
                <w:sz w:val="21"/>
                <w:szCs w:val="21"/>
              </w:rPr>
            </w:pPr>
          </w:p>
        </w:tc>
        <w:tc>
          <w:tcPr>
            <w:tcW w:w="615" w:type="dxa"/>
            <w:noWrap w:val="0"/>
            <w:vAlign w:val="top"/>
          </w:tcPr>
          <w:p>
            <w:pPr>
              <w:pStyle w:val="4"/>
              <w:adjustRightInd w:val="0"/>
              <w:snapToGrid w:val="0"/>
              <w:spacing w:before="0" w:after="0" w:line="240" w:lineRule="auto"/>
              <w:outlineLvl w:val="1"/>
              <w:rPr>
                <w:rFonts w:hint="eastAsia" w:ascii="仿宋" w:hAnsi="仿宋" w:eastAsia="仿宋" w:cs="仿宋"/>
                <w:sz w:val="21"/>
                <w:szCs w:val="21"/>
              </w:rPr>
            </w:pPr>
          </w:p>
        </w:tc>
        <w:tc>
          <w:tcPr>
            <w:tcW w:w="566"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68" w:type="dxa"/>
            <w:noWrap w:val="0"/>
            <w:vAlign w:val="center"/>
          </w:tcPr>
          <w:p>
            <w:pPr>
              <w:snapToGrid w:val="0"/>
              <w:jc w:val="center"/>
              <w:rPr>
                <w:rFonts w:hint="eastAsia" w:ascii="仿宋" w:hAnsi="仿宋" w:eastAsia="仿宋" w:cs="仿宋"/>
              </w:rPr>
            </w:pPr>
            <w:r>
              <w:rPr>
                <w:rFonts w:hint="eastAsia" w:ascii="仿宋" w:hAnsi="仿宋" w:eastAsia="仿宋" w:cs="仿宋"/>
              </w:rPr>
              <w:t>8</w:t>
            </w:r>
          </w:p>
        </w:tc>
        <w:tc>
          <w:tcPr>
            <w:tcW w:w="3837" w:type="dxa"/>
            <w:noWrap w:val="0"/>
            <w:vAlign w:val="center"/>
          </w:tcPr>
          <w:p>
            <w:pPr>
              <w:snapToGrid w:val="0"/>
              <w:jc w:val="left"/>
              <w:rPr>
                <w:rFonts w:hint="eastAsia" w:ascii="仿宋" w:hAnsi="仿宋" w:eastAsia="仿宋" w:cs="仿宋"/>
                <w:b/>
                <w:szCs w:val="21"/>
              </w:rPr>
            </w:pPr>
            <w:r>
              <w:rPr>
                <w:rFonts w:hint="eastAsia" w:ascii="仿宋" w:hAnsi="仿宋" w:eastAsia="仿宋" w:cs="仿宋"/>
              </w:rPr>
              <w:t>开标时间前六个月内任一个月的依法缴纳社会保障资金的缴款凭据</w:t>
            </w:r>
          </w:p>
        </w:tc>
        <w:tc>
          <w:tcPr>
            <w:tcW w:w="3155" w:type="dxa"/>
            <w:noWrap w:val="0"/>
            <w:vAlign w:val="center"/>
          </w:tcPr>
          <w:p>
            <w:pPr>
              <w:pStyle w:val="4"/>
              <w:adjustRightInd w:val="0"/>
              <w:snapToGrid w:val="0"/>
              <w:spacing w:before="0" w:after="0" w:line="240" w:lineRule="auto"/>
              <w:jc w:val="both"/>
              <w:outlineLvl w:val="1"/>
              <w:rPr>
                <w:rFonts w:hint="eastAsia" w:ascii="仿宋" w:hAnsi="仿宋" w:eastAsia="仿宋" w:cs="仿宋"/>
                <w:b w:val="0"/>
                <w:sz w:val="21"/>
                <w:szCs w:val="21"/>
              </w:rPr>
            </w:pPr>
            <w:r>
              <w:rPr>
                <w:rFonts w:hint="eastAsia" w:ascii="仿宋" w:hAnsi="仿宋" w:eastAsia="仿宋" w:cs="仿宋"/>
                <w:b w:val="0"/>
                <w:sz w:val="21"/>
                <w:szCs w:val="21"/>
              </w:rPr>
              <w:t>1.按要求提供</w:t>
            </w:r>
          </w:p>
          <w:p>
            <w:pPr>
              <w:pStyle w:val="4"/>
              <w:adjustRightInd w:val="0"/>
              <w:snapToGrid w:val="0"/>
              <w:spacing w:before="0" w:after="0" w:line="240" w:lineRule="auto"/>
              <w:jc w:val="both"/>
              <w:outlineLvl w:val="1"/>
              <w:rPr>
                <w:rFonts w:hint="eastAsia" w:ascii="仿宋" w:hAnsi="仿宋" w:eastAsia="仿宋" w:cs="仿宋"/>
                <w:b w:val="0"/>
                <w:sz w:val="21"/>
                <w:szCs w:val="21"/>
              </w:rPr>
            </w:pPr>
            <w:r>
              <w:rPr>
                <w:rFonts w:hint="eastAsia" w:ascii="仿宋" w:hAnsi="仿宋" w:eastAsia="仿宋" w:cs="仿宋"/>
                <w:b w:val="0"/>
                <w:sz w:val="21"/>
                <w:szCs w:val="21"/>
              </w:rPr>
              <w:t>2.合法有效</w:t>
            </w:r>
          </w:p>
        </w:tc>
        <w:tc>
          <w:tcPr>
            <w:tcW w:w="630" w:type="dxa"/>
            <w:noWrap w:val="0"/>
            <w:vAlign w:val="top"/>
          </w:tcPr>
          <w:p>
            <w:pPr>
              <w:pStyle w:val="4"/>
              <w:adjustRightInd w:val="0"/>
              <w:snapToGrid w:val="0"/>
              <w:spacing w:before="0" w:after="0" w:line="240" w:lineRule="auto"/>
              <w:outlineLvl w:val="1"/>
              <w:rPr>
                <w:rFonts w:hint="eastAsia" w:ascii="仿宋" w:hAnsi="仿宋" w:eastAsia="仿宋" w:cs="仿宋"/>
                <w:sz w:val="21"/>
                <w:szCs w:val="21"/>
              </w:rPr>
            </w:pPr>
          </w:p>
        </w:tc>
        <w:tc>
          <w:tcPr>
            <w:tcW w:w="615" w:type="dxa"/>
            <w:noWrap w:val="0"/>
            <w:vAlign w:val="top"/>
          </w:tcPr>
          <w:p>
            <w:pPr>
              <w:pStyle w:val="4"/>
              <w:adjustRightInd w:val="0"/>
              <w:snapToGrid w:val="0"/>
              <w:spacing w:before="0" w:after="0" w:line="240" w:lineRule="auto"/>
              <w:outlineLvl w:val="1"/>
              <w:rPr>
                <w:rFonts w:hint="eastAsia" w:ascii="仿宋" w:hAnsi="仿宋" w:eastAsia="仿宋" w:cs="仿宋"/>
                <w:sz w:val="21"/>
                <w:szCs w:val="21"/>
              </w:rPr>
            </w:pPr>
          </w:p>
        </w:tc>
        <w:tc>
          <w:tcPr>
            <w:tcW w:w="566"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68" w:type="dxa"/>
            <w:noWrap w:val="0"/>
            <w:vAlign w:val="center"/>
          </w:tcPr>
          <w:p>
            <w:pPr>
              <w:snapToGrid w:val="0"/>
              <w:jc w:val="center"/>
              <w:rPr>
                <w:rFonts w:hint="eastAsia" w:ascii="仿宋" w:hAnsi="仿宋" w:eastAsia="仿宋" w:cs="仿宋"/>
              </w:rPr>
            </w:pPr>
            <w:r>
              <w:rPr>
                <w:rFonts w:hint="eastAsia" w:ascii="仿宋" w:hAnsi="仿宋" w:eastAsia="仿宋" w:cs="仿宋"/>
              </w:rPr>
              <w:t>9</w:t>
            </w:r>
          </w:p>
        </w:tc>
        <w:tc>
          <w:tcPr>
            <w:tcW w:w="3837" w:type="dxa"/>
            <w:noWrap w:val="0"/>
            <w:vAlign w:val="center"/>
          </w:tcPr>
          <w:p>
            <w:pPr>
              <w:snapToGrid w:val="0"/>
              <w:jc w:val="left"/>
              <w:rPr>
                <w:rFonts w:hint="eastAsia" w:ascii="仿宋" w:hAnsi="仿宋" w:eastAsia="仿宋" w:cs="仿宋"/>
                <w:b/>
                <w:szCs w:val="21"/>
              </w:rPr>
            </w:pPr>
            <w:r>
              <w:rPr>
                <w:rFonts w:hint="eastAsia" w:ascii="仿宋" w:hAnsi="仿宋" w:eastAsia="仿宋" w:cs="仿宋"/>
              </w:rPr>
              <w:t>具备履行合同所必需的设备和专业技术能力声明函</w:t>
            </w:r>
          </w:p>
        </w:tc>
        <w:tc>
          <w:tcPr>
            <w:tcW w:w="3155" w:type="dxa"/>
            <w:noWrap w:val="0"/>
            <w:vAlign w:val="center"/>
          </w:tcPr>
          <w:p>
            <w:pPr>
              <w:pStyle w:val="4"/>
              <w:adjustRightInd w:val="0"/>
              <w:snapToGrid w:val="0"/>
              <w:spacing w:before="0" w:after="0" w:line="240" w:lineRule="auto"/>
              <w:jc w:val="both"/>
              <w:outlineLvl w:val="1"/>
              <w:rPr>
                <w:rFonts w:hint="eastAsia" w:ascii="仿宋" w:hAnsi="仿宋" w:eastAsia="仿宋" w:cs="仿宋"/>
                <w:b w:val="0"/>
                <w:sz w:val="21"/>
                <w:szCs w:val="21"/>
              </w:rPr>
            </w:pPr>
            <w:r>
              <w:rPr>
                <w:rFonts w:hint="eastAsia" w:ascii="仿宋" w:hAnsi="仿宋" w:eastAsia="仿宋" w:cs="仿宋"/>
                <w:b w:val="0"/>
                <w:sz w:val="21"/>
                <w:szCs w:val="21"/>
              </w:rPr>
              <w:t>1.信息完整</w:t>
            </w:r>
          </w:p>
          <w:p>
            <w:pPr>
              <w:pStyle w:val="4"/>
              <w:adjustRightInd w:val="0"/>
              <w:snapToGrid w:val="0"/>
              <w:spacing w:before="0" w:after="0" w:line="240" w:lineRule="auto"/>
              <w:jc w:val="both"/>
              <w:outlineLvl w:val="1"/>
              <w:rPr>
                <w:rFonts w:hint="eastAsia" w:ascii="仿宋" w:hAnsi="仿宋" w:eastAsia="仿宋" w:cs="仿宋"/>
                <w:b w:val="0"/>
                <w:sz w:val="21"/>
                <w:szCs w:val="21"/>
              </w:rPr>
            </w:pPr>
            <w:r>
              <w:rPr>
                <w:rFonts w:hint="eastAsia" w:ascii="仿宋" w:hAnsi="仿宋" w:eastAsia="仿宋" w:cs="仿宋"/>
                <w:b w:val="0"/>
                <w:sz w:val="21"/>
                <w:szCs w:val="21"/>
              </w:rPr>
              <w:t>2.按规定签章</w:t>
            </w:r>
          </w:p>
        </w:tc>
        <w:tc>
          <w:tcPr>
            <w:tcW w:w="630" w:type="dxa"/>
            <w:noWrap w:val="0"/>
            <w:vAlign w:val="top"/>
          </w:tcPr>
          <w:p>
            <w:pPr>
              <w:pStyle w:val="4"/>
              <w:adjustRightInd w:val="0"/>
              <w:snapToGrid w:val="0"/>
              <w:spacing w:before="0" w:after="0" w:line="240" w:lineRule="auto"/>
              <w:outlineLvl w:val="1"/>
              <w:rPr>
                <w:rFonts w:hint="eastAsia" w:ascii="仿宋" w:hAnsi="仿宋" w:eastAsia="仿宋" w:cs="仿宋"/>
                <w:sz w:val="21"/>
                <w:szCs w:val="21"/>
              </w:rPr>
            </w:pPr>
          </w:p>
        </w:tc>
        <w:tc>
          <w:tcPr>
            <w:tcW w:w="615" w:type="dxa"/>
            <w:noWrap w:val="0"/>
            <w:vAlign w:val="top"/>
          </w:tcPr>
          <w:p>
            <w:pPr>
              <w:pStyle w:val="4"/>
              <w:adjustRightInd w:val="0"/>
              <w:snapToGrid w:val="0"/>
              <w:spacing w:before="0" w:after="0" w:line="240" w:lineRule="auto"/>
              <w:outlineLvl w:val="1"/>
              <w:rPr>
                <w:rFonts w:hint="eastAsia" w:ascii="仿宋" w:hAnsi="仿宋" w:eastAsia="仿宋" w:cs="仿宋"/>
                <w:sz w:val="21"/>
                <w:szCs w:val="21"/>
              </w:rPr>
            </w:pPr>
          </w:p>
        </w:tc>
        <w:tc>
          <w:tcPr>
            <w:tcW w:w="566"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68" w:type="dxa"/>
            <w:noWrap w:val="0"/>
            <w:vAlign w:val="center"/>
          </w:tcPr>
          <w:p>
            <w:pPr>
              <w:snapToGrid w:val="0"/>
              <w:jc w:val="center"/>
              <w:rPr>
                <w:rFonts w:hint="eastAsia" w:ascii="仿宋" w:hAnsi="仿宋" w:eastAsia="仿宋" w:cs="仿宋"/>
              </w:rPr>
            </w:pPr>
            <w:r>
              <w:rPr>
                <w:rFonts w:hint="eastAsia" w:ascii="仿宋" w:hAnsi="仿宋" w:eastAsia="仿宋" w:cs="仿宋"/>
                <w:szCs w:val="21"/>
              </w:rPr>
              <w:t>10</w:t>
            </w:r>
          </w:p>
        </w:tc>
        <w:tc>
          <w:tcPr>
            <w:tcW w:w="3837" w:type="dxa"/>
            <w:noWrap w:val="0"/>
            <w:vAlign w:val="center"/>
          </w:tcPr>
          <w:p>
            <w:pPr>
              <w:snapToGrid w:val="0"/>
              <w:jc w:val="left"/>
              <w:rPr>
                <w:rFonts w:hint="eastAsia" w:ascii="仿宋" w:hAnsi="仿宋" w:eastAsia="仿宋" w:cs="仿宋"/>
              </w:rPr>
            </w:pPr>
            <w:r>
              <w:rPr>
                <w:rFonts w:hint="eastAsia" w:ascii="仿宋" w:hAnsi="仿宋" w:eastAsia="仿宋" w:cs="仿宋"/>
                <w:szCs w:val="21"/>
              </w:rPr>
              <w:t>参加政府采购活动前3年内在经营活动中没有重大违法记录的书面声明</w:t>
            </w:r>
          </w:p>
        </w:tc>
        <w:tc>
          <w:tcPr>
            <w:tcW w:w="3155" w:type="dxa"/>
            <w:noWrap w:val="0"/>
            <w:vAlign w:val="center"/>
          </w:tcPr>
          <w:p>
            <w:pPr>
              <w:pStyle w:val="4"/>
              <w:adjustRightInd w:val="0"/>
              <w:snapToGrid w:val="0"/>
              <w:spacing w:before="0" w:after="0" w:line="240" w:lineRule="auto"/>
              <w:jc w:val="both"/>
              <w:outlineLvl w:val="1"/>
              <w:rPr>
                <w:rFonts w:hint="eastAsia" w:ascii="仿宋" w:hAnsi="仿宋" w:eastAsia="仿宋" w:cs="仿宋"/>
                <w:b w:val="0"/>
                <w:sz w:val="21"/>
                <w:szCs w:val="21"/>
              </w:rPr>
            </w:pPr>
            <w:r>
              <w:rPr>
                <w:rFonts w:hint="eastAsia" w:ascii="仿宋" w:hAnsi="仿宋" w:eastAsia="仿宋" w:cs="仿宋"/>
                <w:b w:val="0"/>
                <w:sz w:val="21"/>
                <w:szCs w:val="21"/>
              </w:rPr>
              <w:t>1.按给定格式填写</w:t>
            </w:r>
          </w:p>
          <w:p>
            <w:pPr>
              <w:pStyle w:val="4"/>
              <w:adjustRightInd w:val="0"/>
              <w:snapToGrid w:val="0"/>
              <w:spacing w:before="0" w:after="0" w:line="240" w:lineRule="auto"/>
              <w:jc w:val="both"/>
              <w:outlineLvl w:val="1"/>
              <w:rPr>
                <w:rFonts w:hint="eastAsia" w:ascii="仿宋" w:hAnsi="仿宋" w:eastAsia="仿宋" w:cs="仿宋"/>
                <w:b w:val="0"/>
                <w:sz w:val="21"/>
                <w:szCs w:val="21"/>
              </w:rPr>
            </w:pPr>
            <w:r>
              <w:rPr>
                <w:rFonts w:hint="eastAsia" w:ascii="仿宋" w:hAnsi="仿宋" w:eastAsia="仿宋" w:cs="仿宋"/>
                <w:b w:val="0"/>
                <w:sz w:val="21"/>
                <w:szCs w:val="21"/>
              </w:rPr>
              <w:t>2.按规定签章</w:t>
            </w:r>
          </w:p>
        </w:tc>
        <w:tc>
          <w:tcPr>
            <w:tcW w:w="630" w:type="dxa"/>
            <w:noWrap w:val="0"/>
            <w:vAlign w:val="top"/>
          </w:tcPr>
          <w:p>
            <w:pPr>
              <w:pStyle w:val="4"/>
              <w:adjustRightInd w:val="0"/>
              <w:snapToGrid w:val="0"/>
              <w:spacing w:before="0" w:after="0" w:line="240" w:lineRule="auto"/>
              <w:outlineLvl w:val="1"/>
              <w:rPr>
                <w:rFonts w:hint="eastAsia" w:ascii="仿宋" w:hAnsi="仿宋" w:eastAsia="仿宋" w:cs="仿宋"/>
                <w:sz w:val="21"/>
                <w:szCs w:val="21"/>
              </w:rPr>
            </w:pPr>
          </w:p>
        </w:tc>
        <w:tc>
          <w:tcPr>
            <w:tcW w:w="615" w:type="dxa"/>
            <w:noWrap w:val="0"/>
            <w:vAlign w:val="top"/>
          </w:tcPr>
          <w:p>
            <w:pPr>
              <w:pStyle w:val="4"/>
              <w:adjustRightInd w:val="0"/>
              <w:snapToGrid w:val="0"/>
              <w:spacing w:before="0" w:after="0" w:line="240" w:lineRule="auto"/>
              <w:outlineLvl w:val="1"/>
              <w:rPr>
                <w:rFonts w:hint="eastAsia" w:ascii="仿宋" w:hAnsi="仿宋" w:eastAsia="仿宋" w:cs="仿宋"/>
                <w:sz w:val="21"/>
                <w:szCs w:val="21"/>
              </w:rPr>
            </w:pPr>
          </w:p>
        </w:tc>
        <w:tc>
          <w:tcPr>
            <w:tcW w:w="566"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668" w:type="dxa"/>
            <w:noWrap w:val="0"/>
            <w:vAlign w:val="center"/>
          </w:tcPr>
          <w:p>
            <w:pPr>
              <w:snapToGrid w:val="0"/>
              <w:jc w:val="center"/>
              <w:rPr>
                <w:rFonts w:hint="eastAsia" w:ascii="仿宋" w:hAnsi="仿宋" w:eastAsia="仿宋" w:cs="仿宋"/>
                <w:lang w:val="en-US" w:eastAsia="zh-CN"/>
              </w:rPr>
            </w:pPr>
            <w:r>
              <w:rPr>
                <w:rFonts w:hint="eastAsia" w:ascii="仿宋" w:hAnsi="仿宋" w:eastAsia="仿宋" w:cs="仿宋"/>
                <w:szCs w:val="21"/>
              </w:rPr>
              <w:t>1</w:t>
            </w:r>
            <w:r>
              <w:rPr>
                <w:rFonts w:hint="eastAsia" w:ascii="仿宋" w:hAnsi="仿宋" w:eastAsia="仿宋" w:cs="仿宋"/>
                <w:szCs w:val="21"/>
                <w:lang w:val="en-US" w:eastAsia="zh-CN"/>
              </w:rPr>
              <w:t>1</w:t>
            </w:r>
          </w:p>
        </w:tc>
        <w:tc>
          <w:tcPr>
            <w:tcW w:w="3837" w:type="dxa"/>
            <w:noWrap w:val="0"/>
            <w:vAlign w:val="center"/>
          </w:tcPr>
          <w:p>
            <w:pPr>
              <w:snapToGrid w:val="0"/>
              <w:rPr>
                <w:rFonts w:hint="eastAsia" w:ascii="仿宋" w:hAnsi="仿宋" w:eastAsia="仿宋" w:cs="仿宋"/>
                <w:b/>
                <w:szCs w:val="21"/>
              </w:rPr>
            </w:pPr>
            <w:r>
              <w:rPr>
                <w:rFonts w:hint="eastAsia" w:ascii="仿宋_GB2312" w:hAnsi="仿宋_GB2312" w:eastAsia="仿宋_GB2312" w:cs="仿宋_GB2312"/>
                <w:szCs w:val="21"/>
              </w:rPr>
              <w:t>其它资格证明文件</w:t>
            </w:r>
          </w:p>
        </w:tc>
        <w:tc>
          <w:tcPr>
            <w:tcW w:w="3155" w:type="dxa"/>
            <w:noWrap w:val="0"/>
            <w:vAlign w:val="center"/>
          </w:tcPr>
          <w:p>
            <w:pPr>
              <w:pStyle w:val="4"/>
              <w:adjustRightInd w:val="0"/>
              <w:snapToGrid w:val="0"/>
              <w:spacing w:before="0" w:after="0" w:line="240" w:lineRule="auto"/>
              <w:jc w:val="left"/>
              <w:rPr>
                <w:rFonts w:hint="eastAsia" w:ascii="仿宋" w:hAnsi="仿宋" w:eastAsia="仿宋" w:cs="仿宋"/>
                <w:b w:val="0"/>
                <w:sz w:val="21"/>
                <w:szCs w:val="21"/>
              </w:rPr>
            </w:pPr>
            <w:r>
              <w:rPr>
                <w:rFonts w:hint="eastAsia" w:ascii="仿宋" w:hAnsi="仿宋" w:eastAsia="仿宋" w:cs="仿宋"/>
                <w:b w:val="0"/>
                <w:sz w:val="21"/>
                <w:szCs w:val="21"/>
              </w:rPr>
              <w:t>投标人为生产商的必须提供食品生产许可证、品种明细表、食品经营许可证；投标人为代理商或经销商的必须提供是食品经营许可证和所投产品生产商的食品生产许可证、品种明细表复印件；</w:t>
            </w:r>
          </w:p>
        </w:tc>
        <w:tc>
          <w:tcPr>
            <w:tcW w:w="630" w:type="dxa"/>
            <w:noWrap w:val="0"/>
            <w:vAlign w:val="top"/>
          </w:tcPr>
          <w:p>
            <w:pPr>
              <w:pStyle w:val="4"/>
              <w:adjustRightInd w:val="0"/>
              <w:snapToGrid w:val="0"/>
              <w:spacing w:before="0" w:after="0" w:line="240" w:lineRule="auto"/>
              <w:outlineLvl w:val="1"/>
              <w:rPr>
                <w:rFonts w:hint="eastAsia" w:ascii="仿宋" w:hAnsi="仿宋" w:eastAsia="仿宋" w:cs="仿宋"/>
                <w:sz w:val="21"/>
                <w:szCs w:val="21"/>
              </w:rPr>
            </w:pPr>
          </w:p>
        </w:tc>
        <w:tc>
          <w:tcPr>
            <w:tcW w:w="615" w:type="dxa"/>
            <w:noWrap w:val="0"/>
            <w:vAlign w:val="top"/>
          </w:tcPr>
          <w:p>
            <w:pPr>
              <w:pStyle w:val="4"/>
              <w:adjustRightInd w:val="0"/>
              <w:snapToGrid w:val="0"/>
              <w:spacing w:before="0" w:after="0" w:line="240" w:lineRule="auto"/>
              <w:outlineLvl w:val="1"/>
              <w:rPr>
                <w:rFonts w:hint="eastAsia" w:ascii="仿宋" w:hAnsi="仿宋" w:eastAsia="仿宋" w:cs="仿宋"/>
                <w:sz w:val="21"/>
                <w:szCs w:val="21"/>
              </w:rPr>
            </w:pPr>
          </w:p>
        </w:tc>
        <w:tc>
          <w:tcPr>
            <w:tcW w:w="566"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668" w:type="dxa"/>
            <w:noWrap w:val="0"/>
            <w:vAlign w:val="center"/>
          </w:tcPr>
          <w:p>
            <w:pPr>
              <w:snapToGrid w:val="0"/>
              <w:jc w:val="center"/>
              <w:rPr>
                <w:rFonts w:hint="eastAsia" w:ascii="仿宋" w:hAnsi="仿宋" w:eastAsia="仿宋" w:cs="仿宋"/>
                <w:lang w:val="en-US" w:eastAsia="zh-CN"/>
              </w:rPr>
            </w:pPr>
            <w:r>
              <w:rPr>
                <w:rFonts w:hint="eastAsia" w:ascii="仿宋" w:hAnsi="仿宋" w:eastAsia="仿宋" w:cs="仿宋"/>
              </w:rPr>
              <w:t>1</w:t>
            </w:r>
            <w:r>
              <w:rPr>
                <w:rFonts w:hint="eastAsia" w:ascii="仿宋" w:hAnsi="仿宋" w:eastAsia="仿宋" w:cs="仿宋"/>
                <w:lang w:val="en-US" w:eastAsia="zh-CN"/>
              </w:rPr>
              <w:t>2</w:t>
            </w:r>
          </w:p>
        </w:tc>
        <w:tc>
          <w:tcPr>
            <w:tcW w:w="3837" w:type="dxa"/>
            <w:noWrap w:val="0"/>
            <w:vAlign w:val="center"/>
          </w:tcPr>
          <w:p>
            <w:pPr>
              <w:snapToGrid w:val="0"/>
              <w:rPr>
                <w:rFonts w:hint="eastAsia" w:ascii="仿宋_GB2312" w:hAnsi="仿宋_GB2312" w:eastAsia="仿宋_GB2312" w:cs="仿宋_GB2312"/>
                <w:szCs w:val="21"/>
              </w:rPr>
            </w:pPr>
            <w:r>
              <w:rPr>
                <w:rFonts w:hint="eastAsia" w:ascii="仿宋_GB2312" w:hAnsi="仿宋_GB2312" w:eastAsia="仿宋_GB2312" w:cs="仿宋_GB2312"/>
                <w:szCs w:val="21"/>
              </w:rPr>
              <w:t>信用记录</w:t>
            </w:r>
            <w:r>
              <w:rPr>
                <w:rFonts w:hint="eastAsia" w:ascii="仿宋_GB2312" w:hAnsi="仿宋" w:eastAsia="仿宋_GB2312"/>
                <w:b w:val="0"/>
                <w:bCs/>
                <w:sz w:val="21"/>
                <w:szCs w:val="21"/>
              </w:rPr>
              <w:t>（</w:t>
            </w:r>
            <w:r>
              <w:rPr>
                <w:rFonts w:hint="eastAsia" w:ascii="仿宋_GB2312" w:hAnsi="仿宋" w:eastAsia="仿宋_GB2312" w:cs="仿宋_GB2312"/>
                <w:b w:val="0"/>
                <w:bCs/>
                <w:sz w:val="21"/>
                <w:szCs w:val="21"/>
              </w:rPr>
              <w:t>提供</w:t>
            </w:r>
            <w:r>
              <w:rPr>
                <w:rFonts w:hint="eastAsia" w:ascii="仿宋_GB2312" w:hAnsi="仿宋_GB2312" w:eastAsia="仿宋_GB2312" w:cs="仿宋_GB2312"/>
                <w:b w:val="0"/>
                <w:bCs/>
                <w:sz w:val="21"/>
                <w:szCs w:val="21"/>
              </w:rPr>
              <w:t>中国政府采购网（www.ccgp.gov.cn）或在“信用中国”网站（www.creditchina.gov.cn</w:t>
            </w:r>
            <w:r>
              <w:rPr>
                <w:rFonts w:hint="eastAsia" w:ascii="仿宋_GB2312" w:hAnsi="仿宋" w:eastAsia="仿宋_GB2312" w:cs="仿宋_GB2312"/>
                <w:b w:val="0"/>
                <w:bCs/>
                <w:sz w:val="21"/>
                <w:szCs w:val="21"/>
              </w:rPr>
              <w:t>网页截图</w:t>
            </w:r>
            <w:r>
              <w:rPr>
                <w:rFonts w:hint="eastAsia" w:ascii="仿宋_GB2312" w:hAnsi="仿宋" w:eastAsia="仿宋_GB2312"/>
                <w:b w:val="0"/>
                <w:bCs/>
                <w:sz w:val="21"/>
                <w:szCs w:val="21"/>
              </w:rPr>
              <w:t>）</w:t>
            </w:r>
          </w:p>
        </w:tc>
        <w:tc>
          <w:tcPr>
            <w:tcW w:w="3155" w:type="dxa"/>
            <w:noWrap w:val="0"/>
            <w:vAlign w:val="center"/>
          </w:tcPr>
          <w:p>
            <w:pPr>
              <w:pStyle w:val="4"/>
              <w:adjustRightInd w:val="0"/>
              <w:snapToGrid w:val="0"/>
              <w:spacing w:before="0" w:after="0" w:line="240" w:lineRule="auto"/>
              <w:jc w:val="left"/>
              <w:rPr>
                <w:rFonts w:hint="eastAsia" w:ascii="仿宋_GB2312" w:hAnsi="仿宋_GB2312" w:eastAsia="仿宋_GB2312" w:cs="仿宋_GB2312"/>
                <w:b w:val="0"/>
                <w:sz w:val="21"/>
                <w:szCs w:val="21"/>
              </w:rPr>
            </w:pPr>
            <w:bookmarkStart w:id="139" w:name="_Toc4485674"/>
            <w:bookmarkStart w:id="140" w:name="_Toc533340198"/>
            <w:r>
              <w:rPr>
                <w:rFonts w:hint="eastAsia" w:ascii="仿宋_GB2312" w:hAnsi="仿宋_GB2312" w:eastAsia="仿宋_GB2312" w:cs="仿宋_GB2312"/>
                <w:b w:val="0"/>
                <w:sz w:val="21"/>
                <w:szCs w:val="21"/>
              </w:rPr>
              <w:t>无供应商须知</w:t>
            </w:r>
          </w:p>
          <w:p>
            <w:pPr>
              <w:snapToGrid w:val="0"/>
              <w:jc w:val="left"/>
              <w:rPr>
                <w:rFonts w:hint="eastAsia" w:ascii="仿宋_GB2312" w:hAnsi="仿宋_GB2312" w:eastAsia="仿宋_GB2312" w:cs="仿宋_GB2312"/>
                <w:szCs w:val="21"/>
              </w:rPr>
            </w:pPr>
            <w:r>
              <w:rPr>
                <w:rFonts w:hint="eastAsia" w:ascii="仿宋_GB2312" w:hAnsi="仿宋_GB2312" w:eastAsia="仿宋_GB2312" w:cs="仿宋_GB2312"/>
                <w:b w:val="0"/>
                <w:sz w:val="21"/>
                <w:szCs w:val="21"/>
              </w:rPr>
              <w:t>22.3.1所述的不良记录</w:t>
            </w:r>
            <w:bookmarkEnd w:id="139"/>
            <w:bookmarkEnd w:id="140"/>
          </w:p>
        </w:tc>
        <w:tc>
          <w:tcPr>
            <w:tcW w:w="630" w:type="dxa"/>
            <w:noWrap w:val="0"/>
            <w:vAlign w:val="top"/>
          </w:tcPr>
          <w:p>
            <w:pPr>
              <w:pStyle w:val="4"/>
              <w:adjustRightInd w:val="0"/>
              <w:snapToGrid w:val="0"/>
              <w:spacing w:before="0" w:after="0" w:line="240" w:lineRule="auto"/>
              <w:outlineLvl w:val="1"/>
              <w:rPr>
                <w:rFonts w:hint="eastAsia" w:ascii="仿宋" w:hAnsi="仿宋" w:eastAsia="仿宋" w:cs="仿宋"/>
                <w:sz w:val="21"/>
                <w:szCs w:val="21"/>
              </w:rPr>
            </w:pPr>
          </w:p>
        </w:tc>
        <w:tc>
          <w:tcPr>
            <w:tcW w:w="615" w:type="dxa"/>
            <w:noWrap w:val="0"/>
            <w:vAlign w:val="top"/>
          </w:tcPr>
          <w:p>
            <w:pPr>
              <w:pStyle w:val="4"/>
              <w:adjustRightInd w:val="0"/>
              <w:snapToGrid w:val="0"/>
              <w:spacing w:before="0" w:after="0" w:line="240" w:lineRule="auto"/>
              <w:outlineLvl w:val="1"/>
              <w:rPr>
                <w:rFonts w:hint="eastAsia" w:ascii="仿宋" w:hAnsi="仿宋" w:eastAsia="仿宋" w:cs="仿宋"/>
                <w:sz w:val="21"/>
                <w:szCs w:val="21"/>
              </w:rPr>
            </w:pPr>
          </w:p>
        </w:tc>
        <w:tc>
          <w:tcPr>
            <w:tcW w:w="566"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68" w:type="dxa"/>
            <w:noWrap w:val="0"/>
            <w:vAlign w:val="center"/>
          </w:tcPr>
          <w:p>
            <w:pPr>
              <w:snapToGrid w:val="0"/>
              <w:jc w:val="center"/>
              <w:rPr>
                <w:rFonts w:ascii="仿宋_GB2312" w:hAnsi="仿宋_GB2312" w:eastAsia="仿宋_GB2312" w:cs="仿宋_GB2312"/>
              </w:rPr>
            </w:pPr>
          </w:p>
        </w:tc>
        <w:tc>
          <w:tcPr>
            <w:tcW w:w="3837" w:type="dxa"/>
            <w:noWrap w:val="0"/>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结论</w:t>
            </w:r>
          </w:p>
        </w:tc>
        <w:tc>
          <w:tcPr>
            <w:tcW w:w="3155"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c>
          <w:tcPr>
            <w:tcW w:w="630"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c>
          <w:tcPr>
            <w:tcW w:w="615"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c>
          <w:tcPr>
            <w:tcW w:w="566"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r>
    </w:tbl>
    <w:p>
      <w:pPr>
        <w:snapToGrid w:val="0"/>
        <w:rPr>
          <w:rFonts w:hint="eastAsia" w:ascii="仿宋_GB2312" w:hAnsi="仿宋_GB2312" w:eastAsia="仿宋_GB2312" w:cs="仿宋_GB2312"/>
        </w:rPr>
      </w:pPr>
    </w:p>
    <w:p>
      <w:pPr>
        <w:snapToGrid w:val="0"/>
        <w:rPr>
          <w:rFonts w:hint="eastAsia" w:ascii="仿宋_GB2312" w:hAnsi="仿宋_GB2312" w:eastAsia="仿宋_GB2312" w:cs="仿宋_GB2312"/>
        </w:rPr>
      </w:pPr>
    </w:p>
    <w:p>
      <w:pPr>
        <w:snapToGrid w:val="0"/>
        <w:rPr>
          <w:rFonts w:ascii="仿宋_GB2312" w:hAnsi="仿宋_GB2312" w:eastAsia="仿宋_GB2312" w:cs="仿宋_GB2312"/>
        </w:rPr>
      </w:pPr>
      <w:r>
        <w:rPr>
          <w:rFonts w:hint="eastAsia" w:ascii="仿宋_GB2312" w:hAnsi="仿宋_GB2312" w:eastAsia="仿宋_GB2312" w:cs="仿宋_GB2312"/>
        </w:rPr>
        <w:t>填表说明：1、每项审查内容中填写“√”或“×”</w:t>
      </w:r>
    </w:p>
    <w:p>
      <w:pPr>
        <w:snapToGrid w:val="0"/>
        <w:rPr>
          <w:rFonts w:ascii="仿宋_GB2312" w:hAnsi="仿宋_GB2312" w:eastAsia="仿宋_GB2312" w:cs="仿宋_GB2312"/>
        </w:rPr>
      </w:pPr>
      <w:r>
        <w:rPr>
          <w:rFonts w:hint="eastAsia" w:ascii="仿宋_GB2312" w:hAnsi="仿宋_GB2312" w:eastAsia="仿宋_GB2312" w:cs="仿宋_GB2312"/>
        </w:rPr>
        <w:t xml:space="preserve">          2、审查结论填写“通过”或“不通过”</w:t>
      </w:r>
    </w:p>
    <w:p>
      <w:pPr>
        <w:pStyle w:val="16"/>
        <w:widowControl w:val="0"/>
        <w:snapToGrid w:val="0"/>
        <w:spacing w:before="0" w:beforeAutospacing="0" w:after="0" w:afterAutospacing="0" w:line="48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审查人签字：</w:t>
      </w:r>
    </w:p>
    <w:p>
      <w:pPr>
        <w:pStyle w:val="16"/>
        <w:widowControl w:val="0"/>
        <w:snapToGrid w:val="0"/>
        <w:spacing w:before="0" w:beforeAutospacing="0" w:after="0" w:afterAutospacing="0" w:line="480" w:lineRule="auto"/>
        <w:jc w:val="both"/>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日      期：</w:t>
      </w:r>
    </w:p>
    <w:p>
      <w:pPr>
        <w:pStyle w:val="16"/>
        <w:widowControl w:val="0"/>
        <w:snapToGrid w:val="0"/>
        <w:spacing w:before="0" w:beforeAutospacing="0" w:after="0" w:afterAutospacing="0" w:line="480" w:lineRule="auto"/>
        <w:jc w:val="both"/>
        <w:rPr>
          <w:rFonts w:hint="eastAsia" w:ascii="仿宋_GB2312" w:hAnsi="仿宋_GB2312" w:eastAsia="仿宋_GB2312" w:cs="仿宋_GB2312"/>
          <w:bCs/>
          <w:sz w:val="21"/>
          <w:szCs w:val="21"/>
        </w:rPr>
      </w:pPr>
    </w:p>
    <w:p>
      <w:pPr>
        <w:pStyle w:val="4"/>
        <w:adjustRightInd w:val="0"/>
        <w:snapToGrid w:val="0"/>
        <w:spacing w:before="0" w:after="0" w:line="240" w:lineRule="auto"/>
        <w:jc w:val="left"/>
        <w:rPr>
          <w:rFonts w:hint="eastAsia" w:ascii="仿宋_GB2312" w:hAnsi="仿宋_GB2312" w:eastAsia="仿宋_GB2312" w:cs="仿宋_GB2312"/>
          <w:szCs w:val="28"/>
        </w:rPr>
      </w:pPr>
      <w:bookmarkStart w:id="141" w:name="_Toc11558_WPSOffice_Level2"/>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 xml:space="preserve">附件2                  </w:t>
      </w:r>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符合性审查表</w:t>
      </w:r>
      <w:bookmarkEnd w:id="141"/>
    </w:p>
    <w:tbl>
      <w:tblPr>
        <w:tblStyle w:val="19"/>
        <w:tblW w:w="9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606"/>
        <w:gridCol w:w="3004"/>
        <w:gridCol w:w="1095"/>
        <w:gridCol w:w="985"/>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48" w:type="dxa"/>
            <w:vMerge w:val="restart"/>
            <w:noWrap w:val="0"/>
            <w:vAlign w:val="center"/>
          </w:tcPr>
          <w:p>
            <w:pPr>
              <w:ind w:left="-84" w:leftChars="-40" w:right="-75" w:rightChars="-36"/>
              <w:jc w:val="center"/>
              <w:rPr>
                <w:rFonts w:ascii="仿宋_GB2312" w:hAnsi="仿宋_GB2312" w:eastAsia="仿宋_GB2312" w:cs="仿宋_GB2312"/>
              </w:rPr>
            </w:pPr>
            <w:r>
              <w:rPr>
                <w:rFonts w:hint="eastAsia" w:ascii="仿宋_GB2312" w:hAnsi="仿宋_GB2312" w:eastAsia="仿宋_GB2312" w:cs="仿宋_GB2312"/>
              </w:rPr>
              <w:t>序号</w:t>
            </w:r>
          </w:p>
        </w:tc>
        <w:tc>
          <w:tcPr>
            <w:tcW w:w="2606" w:type="dxa"/>
            <w:vMerge w:val="restart"/>
            <w:noWrap w:val="0"/>
            <w:vAlign w:val="center"/>
          </w:tcPr>
          <w:p>
            <w:pPr>
              <w:ind w:left="-84" w:leftChars="-40" w:right="-75" w:rightChars="-36"/>
              <w:jc w:val="center"/>
              <w:rPr>
                <w:rFonts w:ascii="仿宋_GB2312" w:hAnsi="仿宋_GB2312" w:eastAsia="仿宋_GB2312" w:cs="仿宋_GB2312"/>
              </w:rPr>
            </w:pPr>
            <w:r>
              <w:rPr>
                <w:rFonts w:hint="eastAsia" w:ascii="仿宋_GB2312" w:hAnsi="仿宋_GB2312" w:eastAsia="仿宋_GB2312" w:cs="仿宋_GB2312"/>
              </w:rPr>
              <w:t>审查项目</w:t>
            </w:r>
          </w:p>
        </w:tc>
        <w:tc>
          <w:tcPr>
            <w:tcW w:w="3004" w:type="dxa"/>
            <w:vMerge w:val="restart"/>
            <w:noWrap w:val="0"/>
            <w:vAlign w:val="center"/>
          </w:tcPr>
          <w:p>
            <w:pPr>
              <w:ind w:left="-84" w:leftChars="-40" w:right="-75" w:rightChars="-36"/>
              <w:jc w:val="center"/>
              <w:rPr>
                <w:rFonts w:ascii="仿宋_GB2312" w:hAnsi="仿宋_GB2312" w:eastAsia="仿宋_GB2312" w:cs="仿宋_GB2312"/>
              </w:rPr>
            </w:pPr>
            <w:r>
              <w:rPr>
                <w:rFonts w:hint="eastAsia" w:ascii="仿宋_GB2312" w:hAnsi="仿宋_GB2312" w:eastAsia="仿宋_GB2312" w:cs="仿宋_GB2312"/>
              </w:rPr>
              <w:t>审查标准</w:t>
            </w:r>
          </w:p>
        </w:tc>
        <w:tc>
          <w:tcPr>
            <w:tcW w:w="2992" w:type="dxa"/>
            <w:gridSpan w:val="3"/>
            <w:noWrap w:val="0"/>
            <w:vAlign w:val="center"/>
          </w:tcPr>
          <w:p>
            <w:pPr>
              <w:ind w:left="-84" w:leftChars="-40" w:right="-75" w:rightChars="-36"/>
              <w:jc w:val="center"/>
              <w:rPr>
                <w:rFonts w:ascii="仿宋_GB2312" w:hAnsi="仿宋_GB2312" w:eastAsia="仿宋_GB2312" w:cs="仿宋_GB2312"/>
              </w:rPr>
            </w:pPr>
            <w:r>
              <w:rPr>
                <w:rFonts w:hint="eastAsia" w:ascii="仿宋_GB2312" w:hAnsi="仿宋_GB2312" w:eastAsia="仿宋_GB2312" w:cs="仿宋_GB2312"/>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48" w:type="dxa"/>
            <w:vMerge w:val="continue"/>
            <w:noWrap w:val="0"/>
            <w:vAlign w:val="center"/>
          </w:tcPr>
          <w:p>
            <w:pPr>
              <w:pStyle w:val="4"/>
              <w:adjustRightInd w:val="0"/>
              <w:snapToGrid w:val="0"/>
              <w:spacing w:before="0" w:after="0" w:line="240" w:lineRule="auto"/>
              <w:outlineLvl w:val="1"/>
              <w:rPr>
                <w:rFonts w:ascii="仿宋_GB2312" w:hAnsi="仿宋_GB2312" w:eastAsia="仿宋_GB2312" w:cs="仿宋_GB2312"/>
              </w:rPr>
            </w:pPr>
          </w:p>
        </w:tc>
        <w:tc>
          <w:tcPr>
            <w:tcW w:w="2606" w:type="dxa"/>
            <w:vMerge w:val="continue"/>
            <w:noWrap w:val="0"/>
            <w:vAlign w:val="center"/>
          </w:tcPr>
          <w:p>
            <w:pPr>
              <w:pStyle w:val="4"/>
              <w:adjustRightInd w:val="0"/>
              <w:snapToGrid w:val="0"/>
              <w:spacing w:before="0" w:after="0" w:line="240" w:lineRule="auto"/>
              <w:outlineLvl w:val="1"/>
              <w:rPr>
                <w:rFonts w:ascii="仿宋_GB2312" w:hAnsi="仿宋_GB2312" w:eastAsia="仿宋_GB2312" w:cs="仿宋_GB2312"/>
                <w:sz w:val="21"/>
                <w:szCs w:val="21"/>
              </w:rPr>
            </w:pPr>
          </w:p>
        </w:tc>
        <w:tc>
          <w:tcPr>
            <w:tcW w:w="3004" w:type="dxa"/>
            <w:vMerge w:val="continue"/>
            <w:noWrap w:val="0"/>
            <w:vAlign w:val="center"/>
          </w:tcPr>
          <w:p>
            <w:pPr>
              <w:pStyle w:val="4"/>
              <w:adjustRightInd w:val="0"/>
              <w:snapToGrid w:val="0"/>
              <w:spacing w:before="0" w:after="0" w:line="240" w:lineRule="auto"/>
              <w:outlineLvl w:val="1"/>
              <w:rPr>
                <w:rFonts w:ascii="仿宋_GB2312" w:hAnsi="仿宋_GB2312" w:eastAsia="仿宋_GB2312" w:cs="仿宋_GB2312"/>
                <w:sz w:val="21"/>
                <w:szCs w:val="21"/>
              </w:rPr>
            </w:pPr>
          </w:p>
        </w:tc>
        <w:tc>
          <w:tcPr>
            <w:tcW w:w="1095" w:type="dxa"/>
            <w:noWrap w:val="0"/>
            <w:vAlign w:val="center"/>
          </w:tcPr>
          <w:p>
            <w:pPr>
              <w:pStyle w:val="4"/>
              <w:adjustRightInd w:val="0"/>
              <w:snapToGrid w:val="0"/>
              <w:spacing w:before="0" w:after="0" w:line="240" w:lineRule="auto"/>
              <w:outlineLvl w:val="1"/>
              <w:rPr>
                <w:rFonts w:ascii="仿宋_GB2312" w:hAnsi="仿宋_GB2312" w:eastAsia="仿宋_GB2312" w:cs="仿宋_GB2312"/>
                <w:sz w:val="21"/>
                <w:szCs w:val="21"/>
              </w:rPr>
            </w:pPr>
          </w:p>
        </w:tc>
        <w:tc>
          <w:tcPr>
            <w:tcW w:w="985" w:type="dxa"/>
            <w:noWrap w:val="0"/>
            <w:vAlign w:val="center"/>
          </w:tcPr>
          <w:p>
            <w:pPr>
              <w:pStyle w:val="4"/>
              <w:adjustRightInd w:val="0"/>
              <w:snapToGrid w:val="0"/>
              <w:spacing w:before="0" w:after="0" w:line="240" w:lineRule="auto"/>
              <w:outlineLvl w:val="1"/>
              <w:rPr>
                <w:rFonts w:ascii="仿宋_GB2312" w:hAnsi="仿宋_GB2312" w:eastAsia="仿宋_GB2312" w:cs="仿宋_GB2312"/>
                <w:sz w:val="21"/>
                <w:szCs w:val="21"/>
              </w:rPr>
            </w:pPr>
          </w:p>
        </w:tc>
        <w:tc>
          <w:tcPr>
            <w:tcW w:w="912" w:type="dxa"/>
            <w:noWrap w:val="0"/>
            <w:vAlign w:val="center"/>
          </w:tcPr>
          <w:p>
            <w:pPr>
              <w:pStyle w:val="4"/>
              <w:adjustRightInd w:val="0"/>
              <w:snapToGrid w:val="0"/>
              <w:spacing w:before="0" w:after="0" w:line="240" w:lineRule="auto"/>
              <w:outlineLvl w:val="1"/>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648" w:type="dxa"/>
            <w:noWrap w:val="0"/>
            <w:vAlign w:val="center"/>
          </w:tcPr>
          <w:p>
            <w:pPr>
              <w:jc w:val="center"/>
              <w:rPr>
                <w:rFonts w:ascii="仿宋_GB2312" w:hAnsi="仿宋_GB2312" w:eastAsia="仿宋_GB2312" w:cs="仿宋_GB2312"/>
              </w:rPr>
            </w:pPr>
            <w:r>
              <w:rPr>
                <w:rFonts w:hint="eastAsia" w:ascii="仿宋_GB2312" w:hAnsi="仿宋_GB2312" w:eastAsia="仿宋_GB2312" w:cs="仿宋_GB2312"/>
                <w:kern w:val="0"/>
                <w:sz w:val="20"/>
                <w:szCs w:val="21"/>
              </w:rPr>
              <w:t>1</w:t>
            </w:r>
          </w:p>
        </w:tc>
        <w:tc>
          <w:tcPr>
            <w:tcW w:w="2606" w:type="dxa"/>
            <w:noWrap w:val="0"/>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投标函</w:t>
            </w:r>
          </w:p>
        </w:tc>
        <w:tc>
          <w:tcPr>
            <w:tcW w:w="3004" w:type="dxa"/>
            <w:noWrap w:val="0"/>
            <w:vAlign w:val="top"/>
          </w:tcPr>
          <w:p>
            <w:pPr>
              <w:pStyle w:val="4"/>
              <w:adjustRightInd w:val="0"/>
              <w:snapToGrid w:val="0"/>
              <w:spacing w:before="0" w:after="0" w:line="240" w:lineRule="auto"/>
              <w:jc w:val="left"/>
              <w:outlineLvl w:val="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jc w:val="left"/>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4"/>
              <w:adjustRightInd w:val="0"/>
              <w:snapToGrid w:val="0"/>
              <w:spacing w:before="0" w:after="0" w:line="240" w:lineRule="auto"/>
              <w:jc w:val="left"/>
              <w:outlineLvl w:val="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95" w:type="dxa"/>
            <w:noWrap w:val="0"/>
            <w:vAlign w:val="center"/>
          </w:tcPr>
          <w:p>
            <w:pPr>
              <w:pStyle w:val="4"/>
              <w:adjustRightInd w:val="0"/>
              <w:snapToGrid w:val="0"/>
              <w:spacing w:before="0" w:after="0" w:line="240" w:lineRule="auto"/>
              <w:outlineLvl w:val="1"/>
              <w:rPr>
                <w:rFonts w:ascii="仿宋_GB2312" w:hAnsi="仿宋_GB2312" w:eastAsia="仿宋_GB2312" w:cs="仿宋_GB2312"/>
                <w:sz w:val="21"/>
                <w:szCs w:val="21"/>
              </w:rPr>
            </w:pPr>
          </w:p>
        </w:tc>
        <w:tc>
          <w:tcPr>
            <w:tcW w:w="985" w:type="dxa"/>
            <w:noWrap w:val="0"/>
            <w:vAlign w:val="center"/>
          </w:tcPr>
          <w:p>
            <w:pPr>
              <w:pStyle w:val="4"/>
              <w:adjustRightInd w:val="0"/>
              <w:snapToGrid w:val="0"/>
              <w:spacing w:before="0" w:after="0" w:line="240" w:lineRule="auto"/>
              <w:outlineLvl w:val="1"/>
              <w:rPr>
                <w:rFonts w:ascii="仿宋_GB2312" w:hAnsi="仿宋_GB2312" w:eastAsia="仿宋_GB2312" w:cs="仿宋_GB2312"/>
                <w:sz w:val="21"/>
                <w:szCs w:val="21"/>
              </w:rPr>
            </w:pPr>
          </w:p>
        </w:tc>
        <w:tc>
          <w:tcPr>
            <w:tcW w:w="912" w:type="dxa"/>
            <w:noWrap w:val="0"/>
            <w:vAlign w:val="center"/>
          </w:tcPr>
          <w:p>
            <w:pPr>
              <w:pStyle w:val="4"/>
              <w:adjustRightInd w:val="0"/>
              <w:snapToGrid w:val="0"/>
              <w:spacing w:before="0" w:after="0" w:line="240" w:lineRule="auto"/>
              <w:outlineLvl w:val="1"/>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48" w:type="dxa"/>
            <w:noWrap w:val="0"/>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2606" w:type="dxa"/>
            <w:noWrap w:val="0"/>
            <w:vAlign w:val="center"/>
          </w:tcPr>
          <w:p>
            <w:pPr>
              <w:rPr>
                <w:rFonts w:ascii="仿宋_GB2312" w:hAnsi="仿宋_GB2312" w:eastAsia="仿宋_GB2312" w:cs="仿宋_GB2312"/>
                <w:kern w:val="0"/>
                <w:szCs w:val="21"/>
              </w:rPr>
            </w:pPr>
            <w:r>
              <w:rPr>
                <w:rFonts w:hint="eastAsia" w:ascii="仿宋_GB2312" w:hAnsi="仿宋_GB2312" w:eastAsia="仿宋_GB2312" w:cs="仿宋_GB2312"/>
                <w:kern w:val="0"/>
                <w:szCs w:val="21"/>
              </w:rPr>
              <w:t>递交投标保证金证明</w:t>
            </w:r>
          </w:p>
        </w:tc>
        <w:tc>
          <w:tcPr>
            <w:tcW w:w="3004" w:type="dxa"/>
            <w:noWrap w:val="0"/>
            <w:vAlign w:val="top"/>
          </w:tcPr>
          <w:p>
            <w:pPr>
              <w:pStyle w:val="4"/>
              <w:adjustRightInd w:val="0"/>
              <w:snapToGrid w:val="0"/>
              <w:spacing w:before="0" w:after="0" w:line="240" w:lineRule="auto"/>
              <w:jc w:val="left"/>
              <w:outlineLvl w:val="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left"/>
              <w:outlineLvl w:val="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1095"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c>
          <w:tcPr>
            <w:tcW w:w="985"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c>
          <w:tcPr>
            <w:tcW w:w="912"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648" w:type="dxa"/>
            <w:noWrap w:val="0"/>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3</w:t>
            </w:r>
          </w:p>
        </w:tc>
        <w:tc>
          <w:tcPr>
            <w:tcW w:w="2606" w:type="dxa"/>
            <w:noWrap w:val="0"/>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开标一览表</w:t>
            </w:r>
          </w:p>
        </w:tc>
        <w:tc>
          <w:tcPr>
            <w:tcW w:w="3004" w:type="dxa"/>
            <w:noWrap w:val="0"/>
            <w:vAlign w:val="top"/>
          </w:tcPr>
          <w:p>
            <w:pPr>
              <w:pStyle w:val="4"/>
              <w:adjustRightInd w:val="0"/>
              <w:snapToGrid w:val="0"/>
              <w:spacing w:before="0" w:after="0" w:line="240" w:lineRule="auto"/>
              <w:jc w:val="left"/>
              <w:outlineLvl w:val="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jc w:val="left"/>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4"/>
              <w:adjustRightInd w:val="0"/>
              <w:snapToGrid w:val="0"/>
              <w:spacing w:before="0" w:after="0" w:line="240" w:lineRule="auto"/>
              <w:jc w:val="left"/>
              <w:outlineLvl w:val="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95"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c>
          <w:tcPr>
            <w:tcW w:w="985"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c>
          <w:tcPr>
            <w:tcW w:w="912"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648" w:type="dxa"/>
            <w:noWrap w:val="0"/>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4</w:t>
            </w:r>
          </w:p>
        </w:tc>
        <w:tc>
          <w:tcPr>
            <w:tcW w:w="2606" w:type="dxa"/>
            <w:noWrap w:val="0"/>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分项报价表</w:t>
            </w:r>
          </w:p>
        </w:tc>
        <w:tc>
          <w:tcPr>
            <w:tcW w:w="3004" w:type="dxa"/>
            <w:noWrap w:val="0"/>
            <w:vAlign w:val="top"/>
          </w:tcPr>
          <w:p>
            <w:pPr>
              <w:pStyle w:val="4"/>
              <w:adjustRightInd w:val="0"/>
              <w:snapToGrid w:val="0"/>
              <w:spacing w:before="0" w:after="0" w:line="240" w:lineRule="auto"/>
              <w:jc w:val="left"/>
              <w:outlineLvl w:val="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jc w:val="left"/>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4"/>
              <w:adjustRightInd w:val="0"/>
              <w:snapToGrid w:val="0"/>
              <w:spacing w:before="0" w:after="0" w:line="240" w:lineRule="auto"/>
              <w:jc w:val="left"/>
              <w:outlineLvl w:val="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95"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c>
          <w:tcPr>
            <w:tcW w:w="985"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c>
          <w:tcPr>
            <w:tcW w:w="912"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648" w:type="dxa"/>
            <w:noWrap w:val="0"/>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5</w:t>
            </w:r>
          </w:p>
        </w:tc>
        <w:tc>
          <w:tcPr>
            <w:tcW w:w="2606" w:type="dxa"/>
            <w:noWrap w:val="0"/>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技术规格偏离表</w:t>
            </w:r>
          </w:p>
        </w:tc>
        <w:tc>
          <w:tcPr>
            <w:tcW w:w="3004" w:type="dxa"/>
            <w:noWrap w:val="0"/>
            <w:vAlign w:val="top"/>
          </w:tcPr>
          <w:p>
            <w:pPr>
              <w:pStyle w:val="4"/>
              <w:adjustRightInd w:val="0"/>
              <w:snapToGrid w:val="0"/>
              <w:spacing w:before="0" w:after="0" w:line="240" w:lineRule="auto"/>
              <w:jc w:val="left"/>
              <w:outlineLvl w:val="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1.按给定格式及填表要求填写</w:t>
            </w:r>
          </w:p>
          <w:p>
            <w:pPr>
              <w:jc w:val="left"/>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4"/>
              <w:adjustRightInd w:val="0"/>
              <w:snapToGrid w:val="0"/>
              <w:spacing w:before="0" w:after="0" w:line="240" w:lineRule="auto"/>
              <w:jc w:val="left"/>
              <w:outlineLvl w:val="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95"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c>
          <w:tcPr>
            <w:tcW w:w="985"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c>
          <w:tcPr>
            <w:tcW w:w="912"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648" w:type="dxa"/>
            <w:noWrap w:val="0"/>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6</w:t>
            </w:r>
          </w:p>
        </w:tc>
        <w:tc>
          <w:tcPr>
            <w:tcW w:w="2606" w:type="dxa"/>
            <w:noWrap w:val="0"/>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商务条款偏离表</w:t>
            </w:r>
          </w:p>
        </w:tc>
        <w:tc>
          <w:tcPr>
            <w:tcW w:w="3004" w:type="dxa"/>
            <w:noWrap w:val="0"/>
            <w:vAlign w:val="top"/>
          </w:tcPr>
          <w:p>
            <w:pPr>
              <w:pStyle w:val="4"/>
              <w:adjustRightInd w:val="0"/>
              <w:snapToGrid w:val="0"/>
              <w:spacing w:before="0" w:after="0" w:line="240" w:lineRule="auto"/>
              <w:jc w:val="left"/>
              <w:outlineLvl w:val="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1.按给定格式及填表要求填写</w:t>
            </w:r>
          </w:p>
          <w:p>
            <w:pPr>
              <w:jc w:val="left"/>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4"/>
              <w:adjustRightInd w:val="0"/>
              <w:snapToGrid w:val="0"/>
              <w:spacing w:before="0" w:after="0" w:line="240" w:lineRule="auto"/>
              <w:jc w:val="left"/>
              <w:outlineLvl w:val="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95"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c>
          <w:tcPr>
            <w:tcW w:w="985"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c>
          <w:tcPr>
            <w:tcW w:w="912"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48" w:type="dxa"/>
            <w:noWrap w:val="0"/>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7</w:t>
            </w:r>
          </w:p>
        </w:tc>
        <w:tc>
          <w:tcPr>
            <w:tcW w:w="2606" w:type="dxa"/>
            <w:noWrap w:val="0"/>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投标人关联单位说明</w:t>
            </w:r>
          </w:p>
        </w:tc>
        <w:tc>
          <w:tcPr>
            <w:tcW w:w="3004" w:type="dxa"/>
            <w:noWrap w:val="0"/>
            <w:vAlign w:val="center"/>
          </w:tcPr>
          <w:p>
            <w:pPr>
              <w:pStyle w:val="4"/>
              <w:adjustRightInd w:val="0"/>
              <w:snapToGrid w:val="0"/>
              <w:spacing w:before="0" w:after="0" w:line="240" w:lineRule="auto"/>
              <w:jc w:val="both"/>
              <w:outlineLvl w:val="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无投标须知1.5所述情形</w:t>
            </w:r>
          </w:p>
        </w:tc>
        <w:tc>
          <w:tcPr>
            <w:tcW w:w="1095"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c>
          <w:tcPr>
            <w:tcW w:w="985"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c>
          <w:tcPr>
            <w:tcW w:w="912"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48" w:type="dxa"/>
            <w:noWrap w:val="0"/>
            <w:vAlign w:val="center"/>
          </w:tcPr>
          <w:p>
            <w:pPr>
              <w:snapToGrid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w:t>
            </w:r>
          </w:p>
        </w:tc>
        <w:tc>
          <w:tcPr>
            <w:tcW w:w="2606" w:type="dxa"/>
            <w:noWrap w:val="0"/>
            <w:vAlign w:val="center"/>
          </w:tcPr>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投标报价</w:t>
            </w:r>
          </w:p>
        </w:tc>
        <w:tc>
          <w:tcPr>
            <w:tcW w:w="3004" w:type="dxa"/>
            <w:noWrap w:val="0"/>
            <w:vAlign w:val="top"/>
          </w:tcPr>
          <w:p>
            <w:pPr>
              <w:pStyle w:val="4"/>
              <w:adjustRightInd w:val="0"/>
              <w:snapToGrid w:val="0"/>
              <w:spacing w:before="0" w:after="0" w:line="240" w:lineRule="auto"/>
              <w:jc w:val="left"/>
              <w:outlineLvl w:val="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1.响应招标文件实质性要求</w:t>
            </w:r>
          </w:p>
          <w:p>
            <w:pPr>
              <w:pStyle w:val="4"/>
              <w:adjustRightInd w:val="0"/>
              <w:snapToGrid w:val="0"/>
              <w:spacing w:before="0" w:after="0" w:line="240" w:lineRule="auto"/>
              <w:jc w:val="left"/>
              <w:outlineLvl w:val="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2.无投标须知26.2所述情形</w:t>
            </w:r>
          </w:p>
        </w:tc>
        <w:tc>
          <w:tcPr>
            <w:tcW w:w="1095"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c>
          <w:tcPr>
            <w:tcW w:w="985"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c>
          <w:tcPr>
            <w:tcW w:w="912"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48" w:type="dxa"/>
            <w:noWrap w:val="0"/>
            <w:vAlign w:val="center"/>
          </w:tcPr>
          <w:p>
            <w:pPr>
              <w:adjustRightInd w:val="0"/>
              <w:snapToGrid w:val="0"/>
              <w:jc w:val="center"/>
              <w:rPr>
                <w:rFonts w:hint="eastAsia" w:ascii="仿宋_GB2312" w:hAnsi="仿宋_GB2312" w:eastAsia="仿宋_GB2312" w:cs="仿宋_GB2312"/>
                <w:lang w:val="en-US" w:eastAsia="zh-CN"/>
              </w:rPr>
            </w:pPr>
            <w:r>
              <w:rPr>
                <w:rFonts w:hint="eastAsia" w:ascii="仿宋_GB2312" w:hAnsi="仿宋_GB2312" w:eastAsia="仿宋_GB2312" w:cs="仿宋_GB2312"/>
                <w:kern w:val="0"/>
                <w:szCs w:val="21"/>
              </w:rPr>
              <w:t>9</w:t>
            </w:r>
          </w:p>
        </w:tc>
        <w:tc>
          <w:tcPr>
            <w:tcW w:w="2606" w:type="dxa"/>
            <w:noWrap w:val="0"/>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其他符合性证明材料：</w:t>
            </w:r>
          </w:p>
          <w:p>
            <w:pPr>
              <w:adjustRightInd w:val="0"/>
              <w:snapToGrid w:val="0"/>
              <w:rPr>
                <w:rFonts w:hint="eastAsia" w:ascii="仿宋_GB2312" w:hAnsi="仿宋_GB2312" w:eastAsia="仿宋_GB2312" w:cs="仿宋_GB2312"/>
                <w:szCs w:val="21"/>
                <w:lang w:eastAsia="zh-CN"/>
              </w:rPr>
            </w:pPr>
          </w:p>
        </w:tc>
        <w:tc>
          <w:tcPr>
            <w:tcW w:w="3004" w:type="dxa"/>
            <w:noWrap w:val="0"/>
            <w:vAlign w:val="center"/>
          </w:tcPr>
          <w:p>
            <w:pPr>
              <w:adjustRightInd w:val="0"/>
              <w:snapToGrid w:val="0"/>
              <w:jc w:val="both"/>
              <w:rPr>
                <w:rFonts w:hint="eastAsia" w:ascii="仿宋_GB2312" w:hAnsi="仿宋_GB2312" w:eastAsia="仿宋_GB2312" w:cs="仿宋_GB2312"/>
                <w:b w:val="0"/>
                <w:bCs w:val="0"/>
                <w:sz w:val="21"/>
                <w:szCs w:val="21"/>
              </w:rPr>
            </w:pPr>
            <w:r>
              <w:rPr>
                <w:rFonts w:hint="eastAsia" w:ascii="仿宋" w:hAnsi="仿宋" w:eastAsia="仿宋" w:cs="仿宋"/>
                <w:b w:val="0"/>
                <w:bCs w:val="0"/>
                <w:sz w:val="21"/>
                <w:szCs w:val="21"/>
              </w:rPr>
              <w:t>提供</w:t>
            </w:r>
            <w:r>
              <w:rPr>
                <w:rFonts w:hint="eastAsia" w:ascii="仿宋" w:hAnsi="仿宋" w:eastAsia="仿宋" w:cs="仿宋"/>
                <w:b w:val="0"/>
                <w:bCs w:val="0"/>
                <w:sz w:val="21"/>
                <w:szCs w:val="21"/>
                <w:lang w:eastAsia="zh-CN"/>
              </w:rPr>
              <w:t>所投产品生产厂家委托</w:t>
            </w:r>
            <w:r>
              <w:rPr>
                <w:rFonts w:hint="eastAsia" w:ascii="仿宋" w:hAnsi="仿宋" w:eastAsia="仿宋" w:cs="仿宋"/>
                <w:b w:val="0"/>
                <w:bCs w:val="0"/>
                <w:sz w:val="21"/>
                <w:szCs w:val="21"/>
              </w:rPr>
              <w:t>第三方检测机构出具的检</w:t>
            </w:r>
            <w:r>
              <w:rPr>
                <w:rFonts w:hint="eastAsia" w:ascii="仿宋" w:hAnsi="仿宋" w:eastAsia="仿宋" w:cs="仿宋"/>
                <w:b w:val="0"/>
                <w:bCs w:val="0"/>
                <w:sz w:val="21"/>
                <w:szCs w:val="21"/>
                <w:lang w:eastAsia="zh-CN"/>
              </w:rPr>
              <w:t>验</w:t>
            </w:r>
            <w:r>
              <w:rPr>
                <w:rFonts w:hint="eastAsia" w:ascii="仿宋" w:hAnsi="仿宋" w:eastAsia="仿宋" w:cs="仿宋"/>
                <w:b w:val="0"/>
                <w:bCs w:val="0"/>
                <w:sz w:val="21"/>
                <w:szCs w:val="21"/>
              </w:rPr>
              <w:t>报告</w:t>
            </w:r>
            <w:r>
              <w:rPr>
                <w:rFonts w:hint="eastAsia" w:ascii="仿宋" w:hAnsi="仿宋" w:eastAsia="仿宋" w:cs="仿宋"/>
                <w:b w:val="0"/>
                <w:bCs w:val="0"/>
                <w:sz w:val="21"/>
                <w:szCs w:val="21"/>
                <w:lang w:eastAsia="zh-CN"/>
              </w:rPr>
              <w:t>（近一年内的）</w:t>
            </w:r>
          </w:p>
        </w:tc>
        <w:tc>
          <w:tcPr>
            <w:tcW w:w="1095" w:type="dxa"/>
            <w:noWrap w:val="0"/>
            <w:vAlign w:val="center"/>
          </w:tcPr>
          <w:p>
            <w:pPr>
              <w:adjustRightInd w:val="0"/>
              <w:snapToGrid w:val="0"/>
              <w:jc w:val="center"/>
              <w:rPr>
                <w:rFonts w:ascii="仿宋_GB2312" w:hAnsi="仿宋_GB2312" w:eastAsia="仿宋_GB2312" w:cs="仿宋_GB2312"/>
                <w:sz w:val="21"/>
                <w:szCs w:val="21"/>
              </w:rPr>
            </w:pPr>
          </w:p>
        </w:tc>
        <w:tc>
          <w:tcPr>
            <w:tcW w:w="985" w:type="dxa"/>
            <w:noWrap w:val="0"/>
            <w:vAlign w:val="center"/>
          </w:tcPr>
          <w:p>
            <w:pPr>
              <w:adjustRightInd w:val="0"/>
              <w:snapToGrid w:val="0"/>
              <w:rPr>
                <w:rFonts w:ascii="仿宋_GB2312" w:hAnsi="仿宋_GB2312" w:eastAsia="仿宋_GB2312" w:cs="仿宋_GB2312"/>
                <w:sz w:val="21"/>
                <w:szCs w:val="21"/>
              </w:rPr>
            </w:pPr>
          </w:p>
        </w:tc>
        <w:tc>
          <w:tcPr>
            <w:tcW w:w="912"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48" w:type="dxa"/>
            <w:noWrap w:val="0"/>
            <w:vAlign w:val="center"/>
          </w:tcPr>
          <w:p>
            <w:pPr>
              <w:snapToGrid w:val="0"/>
              <w:jc w:val="center"/>
              <w:rPr>
                <w:rFonts w:ascii="仿宋_GB2312" w:hAnsi="仿宋_GB2312" w:eastAsia="仿宋_GB2312" w:cs="仿宋_GB2312"/>
              </w:rPr>
            </w:pPr>
          </w:p>
        </w:tc>
        <w:tc>
          <w:tcPr>
            <w:tcW w:w="2606" w:type="dxa"/>
            <w:noWrap w:val="0"/>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结论</w:t>
            </w:r>
          </w:p>
        </w:tc>
        <w:tc>
          <w:tcPr>
            <w:tcW w:w="3004"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c>
          <w:tcPr>
            <w:tcW w:w="1095"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c>
          <w:tcPr>
            <w:tcW w:w="985"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c>
          <w:tcPr>
            <w:tcW w:w="912" w:type="dxa"/>
            <w:noWrap w:val="0"/>
            <w:vAlign w:val="top"/>
          </w:tcPr>
          <w:p>
            <w:pPr>
              <w:pStyle w:val="4"/>
              <w:adjustRightInd w:val="0"/>
              <w:snapToGrid w:val="0"/>
              <w:spacing w:before="0" w:after="0" w:line="240" w:lineRule="auto"/>
              <w:outlineLvl w:val="1"/>
              <w:rPr>
                <w:rFonts w:ascii="仿宋_GB2312" w:hAnsi="仿宋_GB2312" w:eastAsia="仿宋_GB2312" w:cs="仿宋_GB2312"/>
                <w:sz w:val="21"/>
                <w:szCs w:val="21"/>
              </w:rPr>
            </w:pPr>
          </w:p>
        </w:tc>
      </w:tr>
    </w:tbl>
    <w:p>
      <w:pPr>
        <w:rPr>
          <w:rFonts w:hint="eastAsia" w:ascii="仿宋_GB2312" w:hAnsi="仿宋_GB2312" w:eastAsia="仿宋_GB2312" w:cs="仿宋_GB2312"/>
        </w:rPr>
      </w:pPr>
    </w:p>
    <w:p>
      <w:pPr>
        <w:rPr>
          <w:rFonts w:hint="eastAsia" w:ascii="仿宋_GB2312" w:hAnsi="仿宋_GB2312" w:eastAsia="仿宋_GB2312" w:cs="仿宋_GB2312"/>
        </w:rPr>
      </w:pPr>
    </w:p>
    <w:p>
      <w:pPr>
        <w:rPr>
          <w:rFonts w:ascii="仿宋_GB2312" w:hAnsi="仿宋_GB2312" w:eastAsia="仿宋_GB2312" w:cs="仿宋_GB2312"/>
        </w:rPr>
      </w:pPr>
      <w:r>
        <w:rPr>
          <w:rFonts w:hint="eastAsia" w:ascii="仿宋_GB2312" w:hAnsi="仿宋_GB2312" w:eastAsia="仿宋_GB2312" w:cs="仿宋_GB2312"/>
        </w:rPr>
        <w:t>填表说明：1、每项内容审查合格，在表中填写“√”；不合格填写“×”</w:t>
      </w:r>
    </w:p>
    <w:p>
      <w:pPr>
        <w:rPr>
          <w:rFonts w:hint="eastAsia" w:ascii="仿宋_GB2312" w:hAnsi="仿宋_GB2312" w:eastAsia="仿宋_GB2312" w:cs="仿宋_GB2312"/>
        </w:rPr>
      </w:pPr>
      <w:r>
        <w:rPr>
          <w:rFonts w:hint="eastAsia" w:ascii="仿宋_GB2312" w:hAnsi="仿宋_GB2312" w:eastAsia="仿宋_GB2312" w:cs="仿宋_GB2312"/>
        </w:rPr>
        <w:t xml:space="preserve">          2、审查结论填写“通过”或“不通过”</w:t>
      </w:r>
    </w:p>
    <w:p>
      <w:pPr>
        <w:spacing w:line="360" w:lineRule="auto"/>
        <w:rPr>
          <w:rFonts w:ascii="仿宋_GB2312" w:hAnsi="仿宋_GB2312" w:eastAsia="仿宋_GB2312" w:cs="仿宋_GB2312"/>
        </w:rPr>
      </w:pPr>
      <w:r>
        <w:rPr>
          <w:rFonts w:hint="eastAsia" w:ascii="仿宋_GB2312" w:hAnsi="仿宋_GB2312" w:eastAsia="仿宋_GB2312" w:cs="仿宋_GB2312"/>
        </w:rPr>
        <w:t xml:space="preserve">审查人签字： </w:t>
      </w:r>
    </w:p>
    <w:p>
      <w:pPr>
        <w:pStyle w:val="16"/>
        <w:widowControl w:val="0"/>
        <w:snapToGrid w:val="0"/>
        <w:spacing w:before="0" w:beforeAutospacing="0" w:after="0" w:afterAutospacing="0" w:line="480" w:lineRule="auto"/>
        <w:ind w:left="5880" w:hanging="6720" w:hangingChars="2800"/>
        <w:rPr>
          <w:rFonts w:ascii="仿宋_GB2312" w:hAnsi="仿宋_GB2312" w:eastAsia="仿宋_GB2312" w:cs="仿宋_GB2312"/>
          <w:b/>
          <w:sz w:val="28"/>
          <w:szCs w:val="28"/>
        </w:rPr>
      </w:pPr>
      <w:r>
        <w:rPr>
          <w:rFonts w:hint="eastAsia" w:ascii="仿宋_GB2312" w:hAnsi="仿宋_GB2312" w:eastAsia="仿宋_GB2312" w:cs="仿宋_GB2312"/>
        </w:rPr>
        <w:t xml:space="preserve">日      期： </w:t>
      </w:r>
    </w:p>
    <w:p>
      <w:pPr>
        <w:pStyle w:val="4"/>
        <w:adjustRightInd w:val="0"/>
        <w:snapToGrid w:val="0"/>
        <w:spacing w:before="0" w:after="0" w:line="240" w:lineRule="auto"/>
        <w:jc w:val="left"/>
        <w:rPr>
          <w:rFonts w:hint="eastAsia" w:ascii="仿宋_GB2312" w:hAnsi="仿宋_GB2312" w:eastAsia="仿宋_GB2312" w:cs="仿宋_GB2312"/>
          <w:szCs w:val="28"/>
        </w:rPr>
      </w:pPr>
    </w:p>
    <w:p>
      <w:pPr>
        <w:rPr>
          <w:rFonts w:hint="eastAsia"/>
        </w:rPr>
      </w:pPr>
    </w:p>
    <w:p>
      <w:pPr>
        <w:rPr>
          <w:rFonts w:hint="eastAsia"/>
        </w:rPr>
      </w:pPr>
    </w:p>
    <w:p>
      <w:pPr>
        <w:pStyle w:val="4"/>
        <w:adjustRightInd w:val="0"/>
        <w:snapToGrid w:val="0"/>
        <w:spacing w:before="0" w:after="0" w:line="240" w:lineRule="auto"/>
        <w:jc w:val="left"/>
        <w:rPr>
          <w:rFonts w:ascii="仿宋_GB2312" w:hAnsi="仿宋_GB2312" w:eastAsia="仿宋_GB2312" w:cs="仿宋_GB2312"/>
          <w:sz w:val="32"/>
          <w:szCs w:val="32"/>
        </w:rPr>
      </w:pPr>
      <w:r>
        <w:rPr>
          <w:rFonts w:hint="eastAsia" w:ascii="仿宋_GB2312" w:hAnsi="仿宋_GB2312" w:eastAsia="仿宋_GB2312" w:cs="仿宋_GB2312"/>
          <w:szCs w:val="28"/>
        </w:rPr>
        <w:t xml:space="preserve">附件3                   </w:t>
      </w:r>
      <w:r>
        <w:rPr>
          <w:rFonts w:hint="eastAsia" w:ascii="仿宋_GB2312" w:hAnsi="仿宋_GB2312" w:eastAsia="仿宋_GB2312" w:cs="仿宋_GB2312"/>
          <w:sz w:val="32"/>
          <w:szCs w:val="32"/>
        </w:rPr>
        <w:t xml:space="preserve"> </w:t>
      </w:r>
    </w:p>
    <w:p>
      <w:pPr>
        <w:jc w:val="center"/>
        <w:rPr>
          <w:lang w:val="en-US" w:eastAsia="zh-CN"/>
        </w:rPr>
      </w:pPr>
      <w:r>
        <w:rPr>
          <w:rFonts w:hint="eastAsia" w:ascii="仿宋_GB2312" w:hAnsi="仿宋_GB2312" w:eastAsia="仿宋_GB2312" w:cs="仿宋_GB2312"/>
          <w:b/>
          <w:sz w:val="32"/>
          <w:szCs w:val="32"/>
        </w:rPr>
        <w:t>评分细则</w:t>
      </w:r>
      <w:bookmarkEnd w:id="134"/>
    </w:p>
    <w:tbl>
      <w:tblPr>
        <w:tblStyle w:val="19"/>
        <w:tblpPr w:leftFromText="180" w:rightFromText="180" w:vertAnchor="text" w:horzAnchor="page" w:tblpX="1047" w:tblpY="1202"/>
        <w:tblOverlap w:val="never"/>
        <w:tblW w:w="94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5"/>
        <w:gridCol w:w="1088"/>
        <w:gridCol w:w="1008"/>
        <w:gridCol w:w="65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885" w:type="dxa"/>
            <w:noWrap w:val="0"/>
            <w:vAlign w:val="center"/>
          </w:tcPr>
          <w:p>
            <w:pPr>
              <w:pStyle w:val="54"/>
              <w:spacing w:before="9"/>
              <w:jc w:val="both"/>
              <w:rPr>
                <w:rFonts w:hint="eastAsia" w:ascii="仿宋" w:hAnsi="仿宋" w:eastAsia="仿宋" w:cs="仿宋"/>
                <w:sz w:val="24"/>
                <w:szCs w:val="24"/>
              </w:rPr>
            </w:pPr>
          </w:p>
          <w:p>
            <w:pPr>
              <w:pStyle w:val="54"/>
              <w:ind w:left="221" w:right="88"/>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088" w:type="dxa"/>
            <w:noWrap w:val="0"/>
            <w:vAlign w:val="center"/>
          </w:tcPr>
          <w:p>
            <w:pPr>
              <w:pStyle w:val="54"/>
              <w:spacing w:before="4"/>
              <w:ind w:right="138"/>
              <w:jc w:val="center"/>
              <w:rPr>
                <w:rFonts w:hint="eastAsia" w:ascii="仿宋" w:hAnsi="仿宋" w:eastAsia="仿宋" w:cs="仿宋"/>
                <w:b/>
                <w:sz w:val="24"/>
                <w:szCs w:val="24"/>
              </w:rPr>
            </w:pPr>
            <w:r>
              <w:rPr>
                <w:rFonts w:hint="eastAsia" w:ascii="仿宋" w:hAnsi="仿宋" w:eastAsia="仿宋" w:cs="仿宋"/>
                <w:b/>
                <w:w w:val="95"/>
                <w:sz w:val="24"/>
                <w:szCs w:val="24"/>
              </w:rPr>
              <w:t>评分因素</w:t>
            </w:r>
          </w:p>
          <w:p>
            <w:pPr>
              <w:pStyle w:val="54"/>
              <w:spacing w:before="159"/>
              <w:ind w:right="137"/>
              <w:jc w:val="center"/>
              <w:rPr>
                <w:rFonts w:hint="eastAsia" w:ascii="仿宋" w:hAnsi="仿宋" w:eastAsia="仿宋" w:cs="仿宋"/>
                <w:b/>
                <w:sz w:val="24"/>
                <w:szCs w:val="24"/>
              </w:rPr>
            </w:pPr>
            <w:r>
              <w:rPr>
                <w:rFonts w:hint="eastAsia" w:ascii="仿宋" w:hAnsi="仿宋" w:eastAsia="仿宋" w:cs="仿宋"/>
                <w:b/>
                <w:spacing w:val="1"/>
                <w:w w:val="95"/>
                <w:sz w:val="24"/>
                <w:szCs w:val="24"/>
              </w:rPr>
              <w:t>及权重</w:t>
            </w:r>
          </w:p>
        </w:tc>
        <w:tc>
          <w:tcPr>
            <w:tcW w:w="1008" w:type="dxa"/>
            <w:noWrap w:val="0"/>
            <w:vAlign w:val="center"/>
          </w:tcPr>
          <w:p>
            <w:pPr>
              <w:pStyle w:val="54"/>
              <w:spacing w:before="9"/>
              <w:jc w:val="center"/>
              <w:rPr>
                <w:rFonts w:hint="eastAsia" w:ascii="仿宋" w:hAnsi="仿宋" w:eastAsia="仿宋" w:cs="仿宋"/>
                <w:sz w:val="24"/>
                <w:szCs w:val="24"/>
              </w:rPr>
            </w:pPr>
          </w:p>
          <w:p>
            <w:pPr>
              <w:pStyle w:val="54"/>
              <w:ind w:right="27"/>
              <w:jc w:val="center"/>
              <w:rPr>
                <w:rFonts w:hint="eastAsia" w:ascii="仿宋" w:hAnsi="仿宋" w:eastAsia="仿宋" w:cs="仿宋"/>
                <w:b/>
                <w:sz w:val="24"/>
                <w:szCs w:val="24"/>
              </w:rPr>
            </w:pPr>
            <w:r>
              <w:rPr>
                <w:rFonts w:hint="eastAsia" w:ascii="仿宋" w:hAnsi="仿宋" w:eastAsia="仿宋" w:cs="仿宋"/>
                <w:b/>
                <w:w w:val="95"/>
                <w:sz w:val="24"/>
                <w:szCs w:val="24"/>
              </w:rPr>
              <w:t>分值</w:t>
            </w:r>
          </w:p>
        </w:tc>
        <w:tc>
          <w:tcPr>
            <w:tcW w:w="6516" w:type="dxa"/>
            <w:noWrap w:val="0"/>
            <w:vAlign w:val="center"/>
          </w:tcPr>
          <w:p>
            <w:pPr>
              <w:pStyle w:val="54"/>
              <w:spacing w:before="9"/>
              <w:jc w:val="center"/>
              <w:rPr>
                <w:rFonts w:hint="eastAsia" w:ascii="仿宋" w:hAnsi="仿宋" w:eastAsia="仿宋" w:cs="仿宋"/>
                <w:sz w:val="24"/>
                <w:szCs w:val="24"/>
              </w:rPr>
            </w:pPr>
          </w:p>
          <w:p>
            <w:pPr>
              <w:pStyle w:val="54"/>
              <w:ind w:left="2440" w:right="2307"/>
              <w:jc w:val="center"/>
              <w:rPr>
                <w:rFonts w:hint="eastAsia" w:ascii="仿宋" w:hAnsi="仿宋" w:eastAsia="仿宋" w:cs="仿宋"/>
                <w:b/>
                <w:sz w:val="24"/>
                <w:szCs w:val="24"/>
              </w:rPr>
            </w:pPr>
            <w:r>
              <w:rPr>
                <w:rFonts w:hint="eastAsia" w:ascii="仿宋" w:hAnsi="仿宋" w:eastAsia="仿宋" w:cs="仿宋"/>
                <w:b/>
                <w:sz w:val="24"/>
                <w:szCs w:val="24"/>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atLeast"/>
        </w:trPr>
        <w:tc>
          <w:tcPr>
            <w:tcW w:w="885" w:type="dxa"/>
            <w:noWrap w:val="0"/>
            <w:vAlign w:val="center"/>
          </w:tcPr>
          <w:p>
            <w:pPr>
              <w:pStyle w:val="54"/>
              <w:jc w:val="center"/>
              <w:rPr>
                <w:rFonts w:hint="eastAsia" w:ascii="仿宋" w:hAnsi="仿宋" w:eastAsia="仿宋" w:cs="仿宋"/>
                <w:sz w:val="24"/>
                <w:szCs w:val="24"/>
              </w:rPr>
            </w:pPr>
          </w:p>
          <w:p>
            <w:pPr>
              <w:pStyle w:val="54"/>
              <w:jc w:val="center"/>
              <w:rPr>
                <w:rFonts w:hint="eastAsia" w:ascii="仿宋" w:hAnsi="仿宋" w:eastAsia="仿宋" w:cs="仿宋"/>
                <w:sz w:val="24"/>
                <w:szCs w:val="24"/>
              </w:rPr>
            </w:pPr>
          </w:p>
          <w:p>
            <w:pPr>
              <w:pStyle w:val="54"/>
              <w:spacing w:before="177"/>
              <w:ind w:right="88"/>
              <w:jc w:val="center"/>
              <w:rPr>
                <w:rFonts w:hint="eastAsia" w:ascii="仿宋" w:hAnsi="仿宋" w:eastAsia="仿宋" w:cs="仿宋"/>
                <w:sz w:val="24"/>
                <w:szCs w:val="24"/>
              </w:rPr>
            </w:pPr>
            <w:r>
              <w:rPr>
                <w:rFonts w:hint="eastAsia" w:ascii="仿宋" w:hAnsi="仿宋" w:eastAsia="仿宋" w:cs="仿宋"/>
                <w:sz w:val="24"/>
                <w:szCs w:val="24"/>
              </w:rPr>
              <w:t>1</w:t>
            </w:r>
          </w:p>
        </w:tc>
        <w:tc>
          <w:tcPr>
            <w:tcW w:w="1088" w:type="dxa"/>
            <w:noWrap w:val="0"/>
            <w:vAlign w:val="center"/>
          </w:tcPr>
          <w:p>
            <w:pPr>
              <w:pStyle w:val="54"/>
              <w:jc w:val="center"/>
              <w:rPr>
                <w:rFonts w:hint="eastAsia" w:ascii="仿宋" w:hAnsi="仿宋" w:eastAsia="仿宋" w:cs="仿宋"/>
                <w:sz w:val="24"/>
                <w:szCs w:val="24"/>
              </w:rPr>
            </w:pPr>
          </w:p>
          <w:p>
            <w:pPr>
              <w:pStyle w:val="54"/>
              <w:jc w:val="center"/>
              <w:rPr>
                <w:rFonts w:hint="eastAsia" w:ascii="仿宋" w:hAnsi="仿宋" w:eastAsia="仿宋" w:cs="仿宋"/>
                <w:sz w:val="24"/>
                <w:szCs w:val="24"/>
              </w:rPr>
            </w:pPr>
          </w:p>
          <w:p>
            <w:pPr>
              <w:pStyle w:val="54"/>
              <w:spacing w:before="177"/>
              <w:jc w:val="center"/>
              <w:rPr>
                <w:rFonts w:hint="eastAsia" w:ascii="仿宋" w:hAnsi="仿宋" w:eastAsia="仿宋" w:cs="仿宋"/>
                <w:sz w:val="24"/>
                <w:szCs w:val="24"/>
              </w:rPr>
            </w:pPr>
            <w:r>
              <w:rPr>
                <w:rFonts w:hint="eastAsia" w:ascii="仿宋" w:hAnsi="仿宋" w:eastAsia="仿宋" w:cs="仿宋"/>
                <w:sz w:val="24"/>
                <w:szCs w:val="24"/>
              </w:rPr>
              <w:t>报价</w:t>
            </w:r>
          </w:p>
        </w:tc>
        <w:tc>
          <w:tcPr>
            <w:tcW w:w="1008" w:type="dxa"/>
            <w:noWrap w:val="0"/>
            <w:vAlign w:val="center"/>
          </w:tcPr>
          <w:p>
            <w:pPr>
              <w:pStyle w:val="54"/>
              <w:jc w:val="center"/>
              <w:rPr>
                <w:rFonts w:hint="eastAsia" w:ascii="仿宋" w:hAnsi="仿宋" w:eastAsia="仿宋" w:cs="仿宋"/>
                <w:sz w:val="24"/>
                <w:szCs w:val="24"/>
              </w:rPr>
            </w:pPr>
          </w:p>
          <w:p>
            <w:pPr>
              <w:pStyle w:val="54"/>
              <w:jc w:val="center"/>
              <w:rPr>
                <w:rFonts w:hint="eastAsia" w:ascii="仿宋" w:hAnsi="仿宋" w:eastAsia="仿宋" w:cs="仿宋"/>
                <w:sz w:val="24"/>
                <w:szCs w:val="24"/>
              </w:rPr>
            </w:pPr>
          </w:p>
          <w:p>
            <w:pPr>
              <w:pStyle w:val="54"/>
              <w:spacing w:before="177"/>
              <w:ind w:right="1"/>
              <w:jc w:val="center"/>
              <w:rPr>
                <w:rFonts w:hint="eastAsia" w:ascii="仿宋" w:hAnsi="仿宋" w:eastAsia="仿宋" w:cs="仿宋"/>
                <w:sz w:val="24"/>
                <w:szCs w:val="24"/>
              </w:rPr>
            </w:pPr>
            <w:r>
              <w:rPr>
                <w:rFonts w:hint="eastAsia" w:ascii="仿宋" w:hAnsi="仿宋" w:eastAsia="仿宋" w:cs="仿宋"/>
                <w:sz w:val="24"/>
                <w:szCs w:val="24"/>
                <w:lang w:val="en-US" w:eastAsia="zh-CN"/>
              </w:rPr>
              <w:t>30</w:t>
            </w:r>
            <w:r>
              <w:rPr>
                <w:rFonts w:hint="eastAsia" w:ascii="仿宋" w:hAnsi="仿宋" w:eastAsia="仿宋" w:cs="仿宋"/>
                <w:sz w:val="24"/>
                <w:szCs w:val="24"/>
              </w:rPr>
              <w:t>分</w:t>
            </w:r>
          </w:p>
        </w:tc>
        <w:tc>
          <w:tcPr>
            <w:tcW w:w="6516" w:type="dxa"/>
            <w:noWrap w:val="0"/>
            <w:vAlign w:val="top"/>
          </w:tcPr>
          <w:p>
            <w:pPr>
              <w:adjustRightInd w:val="0"/>
              <w:snapToGrid w:val="0"/>
              <w:spacing w:line="360" w:lineRule="auto"/>
              <w:ind w:right="105" w:rightChars="50"/>
              <w:jc w:val="left"/>
              <w:rPr>
                <w:rFonts w:hint="eastAsia" w:ascii="仿宋" w:hAnsi="仿宋" w:eastAsia="仿宋" w:cs="仿宋"/>
                <w:spacing w:val="-32"/>
                <w:sz w:val="24"/>
                <w:szCs w:val="24"/>
                <w:lang w:val="en-US" w:eastAsia="zh-CN"/>
              </w:rPr>
            </w:pPr>
            <w:r>
              <w:rPr>
                <w:rFonts w:hint="eastAsia" w:ascii="仿宋" w:hAnsi="仿宋" w:eastAsia="仿宋" w:cs="仿宋"/>
                <w:sz w:val="24"/>
                <w:szCs w:val="24"/>
              </w:rPr>
              <w:t>以满足</w:t>
            </w:r>
            <w:r>
              <w:rPr>
                <w:rFonts w:hint="eastAsia" w:ascii="仿宋" w:hAnsi="仿宋" w:eastAsia="仿宋" w:cs="仿宋"/>
                <w:sz w:val="24"/>
                <w:szCs w:val="24"/>
                <w:lang w:eastAsia="zh-CN"/>
              </w:rPr>
              <w:t>招标</w:t>
            </w:r>
            <w:r>
              <w:rPr>
                <w:rFonts w:hint="eastAsia" w:ascii="仿宋" w:hAnsi="仿宋" w:eastAsia="仿宋" w:cs="仿宋"/>
                <w:sz w:val="24"/>
                <w:szCs w:val="24"/>
              </w:rPr>
              <w:t>文件要求且</w:t>
            </w:r>
            <w:r>
              <w:rPr>
                <w:rFonts w:hint="eastAsia" w:ascii="仿宋" w:hAnsi="仿宋" w:eastAsia="仿宋" w:cs="仿宋"/>
                <w:b/>
                <w:bCs/>
                <w:sz w:val="24"/>
                <w:szCs w:val="24"/>
                <w:lang w:eastAsia="zh-CN"/>
              </w:rPr>
              <w:t>综合单价</w:t>
            </w:r>
            <w:r>
              <w:rPr>
                <w:rFonts w:hint="eastAsia" w:ascii="仿宋" w:hAnsi="仿宋" w:eastAsia="仿宋" w:cs="仿宋"/>
                <w:b/>
                <w:bCs/>
                <w:sz w:val="24"/>
                <w:szCs w:val="24"/>
              </w:rPr>
              <w:t>报价</w:t>
            </w:r>
            <w:r>
              <w:rPr>
                <w:rFonts w:hint="eastAsia" w:ascii="仿宋" w:hAnsi="仿宋" w:eastAsia="仿宋" w:cs="仿宋"/>
                <w:sz w:val="24"/>
                <w:szCs w:val="24"/>
              </w:rPr>
              <w:t>最低的</w:t>
            </w:r>
            <w:r>
              <w:rPr>
                <w:rFonts w:hint="eastAsia" w:ascii="仿宋" w:hAnsi="仿宋" w:eastAsia="仿宋" w:cs="仿宋"/>
                <w:sz w:val="24"/>
                <w:szCs w:val="24"/>
                <w:lang w:eastAsia="zh-CN"/>
              </w:rPr>
              <w:t>投标人</w:t>
            </w:r>
            <w:r>
              <w:rPr>
                <w:rFonts w:hint="eastAsia" w:ascii="仿宋" w:hAnsi="仿宋" w:eastAsia="仿宋" w:cs="仿宋"/>
                <w:sz w:val="24"/>
                <w:szCs w:val="24"/>
              </w:rPr>
              <w:t>的价格为</w:t>
            </w:r>
            <w:r>
              <w:rPr>
                <w:rFonts w:hint="eastAsia" w:ascii="仿宋" w:hAnsi="仿宋" w:eastAsia="仿宋" w:cs="仿宋"/>
                <w:sz w:val="24"/>
                <w:szCs w:val="24"/>
                <w:lang w:eastAsia="zh-CN"/>
              </w:rPr>
              <w:t>评标</w:t>
            </w:r>
            <w:r>
              <w:rPr>
                <w:rFonts w:hint="eastAsia" w:ascii="仿宋" w:hAnsi="仿宋" w:eastAsia="仿宋" w:cs="仿宋"/>
                <w:sz w:val="24"/>
                <w:szCs w:val="24"/>
              </w:rPr>
              <w:t>基准价，其价格分为满分。其他</w:t>
            </w:r>
            <w:r>
              <w:rPr>
                <w:rFonts w:hint="eastAsia" w:ascii="仿宋" w:hAnsi="仿宋" w:eastAsia="仿宋" w:cs="仿宋"/>
                <w:sz w:val="24"/>
                <w:szCs w:val="24"/>
                <w:lang w:eastAsia="zh-CN"/>
              </w:rPr>
              <w:t>投标人</w:t>
            </w:r>
            <w:r>
              <w:rPr>
                <w:rFonts w:hint="eastAsia" w:ascii="仿宋" w:hAnsi="仿宋" w:eastAsia="仿宋" w:cs="仿宋"/>
                <w:sz w:val="24"/>
                <w:szCs w:val="24"/>
              </w:rPr>
              <w:t>的价格分统一按照下列公式</w:t>
            </w:r>
            <w:r>
              <w:rPr>
                <w:rFonts w:hint="eastAsia" w:ascii="仿宋" w:hAnsi="仿宋" w:eastAsia="仿宋" w:cs="仿宋"/>
                <w:spacing w:val="-32"/>
                <w:sz w:val="24"/>
                <w:szCs w:val="24"/>
              </w:rPr>
              <w:t>计算</w:t>
            </w:r>
            <w:r>
              <w:rPr>
                <w:rFonts w:hint="eastAsia" w:ascii="仿宋" w:hAnsi="仿宋" w:eastAsia="仿宋" w:cs="仿宋"/>
                <w:spacing w:val="-32"/>
                <w:sz w:val="24"/>
                <w:szCs w:val="24"/>
                <w:lang w:val="en-US" w:eastAsia="zh-CN"/>
              </w:rPr>
              <w:t xml:space="preserve">  ：</w:t>
            </w:r>
          </w:p>
          <w:p>
            <w:pPr>
              <w:pStyle w:val="54"/>
              <w:spacing w:line="302" w:lineRule="exact"/>
              <w:ind w:left="109"/>
              <w:rPr>
                <w:rFonts w:hint="eastAsia" w:ascii="仿宋" w:hAnsi="仿宋" w:eastAsia="仿宋" w:cs="仿宋"/>
                <w:sz w:val="24"/>
                <w:szCs w:val="24"/>
              </w:rPr>
            </w:pPr>
            <w:r>
              <w:rPr>
                <w:rFonts w:hint="eastAsia" w:ascii="仿宋" w:hAnsi="仿宋" w:eastAsia="仿宋" w:cs="仿宋"/>
                <w:sz w:val="24"/>
                <w:szCs w:val="24"/>
              </w:rPr>
              <w:t>投标报价得分=（评标基准价/</w:t>
            </w:r>
            <w:r>
              <w:rPr>
                <w:rFonts w:hint="eastAsia" w:ascii="仿宋" w:hAnsi="仿宋" w:eastAsia="仿宋" w:cs="仿宋"/>
                <w:sz w:val="24"/>
                <w:szCs w:val="24"/>
                <w:lang w:eastAsia="zh-CN"/>
              </w:rPr>
              <w:t>综合单价</w:t>
            </w:r>
            <w:r>
              <w:rPr>
                <w:rFonts w:hint="eastAsia" w:ascii="仿宋" w:hAnsi="仿宋" w:eastAsia="仿宋" w:cs="仿宋"/>
                <w:sz w:val="24"/>
                <w:szCs w:val="24"/>
              </w:rPr>
              <w:t>报价）×</w:t>
            </w:r>
            <w:r>
              <w:rPr>
                <w:rFonts w:hint="eastAsia" w:ascii="仿宋" w:hAnsi="仿宋" w:eastAsia="仿宋" w:cs="仿宋"/>
                <w:sz w:val="24"/>
                <w:szCs w:val="24"/>
                <w:lang w:val="en-US" w:eastAsia="zh-CN"/>
              </w:rPr>
              <w:t>30</w:t>
            </w:r>
            <w:r>
              <w:rPr>
                <w:rFonts w:hint="eastAsia" w:ascii="仿宋" w:hAnsi="仿宋" w:eastAsia="仿宋" w:cs="仿宋"/>
                <w:sz w:val="24"/>
                <w:szCs w:val="24"/>
              </w:rPr>
              <w:t>％×100。</w:t>
            </w:r>
            <w:r>
              <w:rPr>
                <w:rFonts w:hint="eastAsia" w:ascii="仿宋" w:hAnsi="仿宋" w:eastAsia="仿宋" w:cs="仿宋"/>
                <w:sz w:val="24"/>
                <w:szCs w:val="24"/>
                <w:lang w:eastAsia="zh-CN"/>
              </w:rPr>
              <w:t>（保留三位小数）</w:t>
            </w:r>
            <w:r>
              <w:rPr>
                <w:rFonts w:hint="eastAsia" w:ascii="仿宋" w:hAnsi="仿宋" w:eastAsia="仿宋" w:cs="仿宋"/>
                <w:sz w:val="24"/>
                <w:szCs w:val="24"/>
              </w:rPr>
              <w:t>。</w:t>
            </w:r>
          </w:p>
          <w:p>
            <w:pPr>
              <w:pStyle w:val="54"/>
              <w:spacing w:line="302" w:lineRule="exact"/>
              <w:ind w:left="109"/>
              <w:rPr>
                <w:rFonts w:hint="eastAsia" w:ascii="仿宋" w:hAnsi="仿宋" w:eastAsia="仿宋" w:cs="仿宋"/>
                <w:sz w:val="24"/>
                <w:szCs w:val="24"/>
                <w:lang w:val="en-US" w:eastAsia="zh-CN"/>
              </w:rPr>
            </w:pPr>
            <w:r>
              <w:rPr>
                <w:rFonts w:hint="eastAsia" w:ascii="仿宋" w:hAnsi="仿宋" w:eastAsia="仿宋" w:cs="仿宋"/>
                <w:b/>
                <w:bCs/>
                <w:sz w:val="24"/>
                <w:szCs w:val="24"/>
                <w:lang w:eastAsia="zh-CN"/>
              </w:rPr>
              <w:t>综合单价报价</w:t>
            </w:r>
            <w:r>
              <w:rPr>
                <w:rFonts w:hint="eastAsia" w:ascii="仿宋" w:hAnsi="仿宋" w:eastAsia="仿宋" w:cs="仿宋"/>
                <w:sz w:val="24"/>
                <w:szCs w:val="24"/>
                <w:lang w:val="en-US" w:eastAsia="zh-CN"/>
              </w:rPr>
              <w:t>=（米的单价+油的单价）÷2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885" w:type="dxa"/>
            <w:noWrap w:val="0"/>
            <w:vAlign w:val="center"/>
          </w:tcPr>
          <w:p>
            <w:pPr>
              <w:pStyle w:val="54"/>
              <w:jc w:val="center"/>
              <w:rPr>
                <w:rFonts w:hint="eastAsia" w:ascii="仿宋" w:hAnsi="仿宋" w:eastAsia="仿宋" w:cs="仿宋"/>
                <w:sz w:val="24"/>
                <w:szCs w:val="24"/>
              </w:rPr>
            </w:pPr>
          </w:p>
          <w:p>
            <w:pPr>
              <w:pStyle w:val="54"/>
              <w:jc w:val="center"/>
              <w:rPr>
                <w:rFonts w:hint="eastAsia" w:ascii="仿宋" w:hAnsi="仿宋" w:eastAsia="仿宋" w:cs="仿宋"/>
                <w:sz w:val="24"/>
                <w:szCs w:val="24"/>
              </w:rPr>
            </w:pPr>
          </w:p>
          <w:p>
            <w:pPr>
              <w:pStyle w:val="54"/>
              <w:jc w:val="center"/>
              <w:rPr>
                <w:rFonts w:hint="eastAsia" w:ascii="仿宋" w:hAnsi="仿宋" w:eastAsia="仿宋" w:cs="仿宋"/>
                <w:sz w:val="24"/>
                <w:szCs w:val="24"/>
              </w:rPr>
            </w:pPr>
          </w:p>
          <w:p>
            <w:pPr>
              <w:pStyle w:val="54"/>
              <w:jc w:val="center"/>
              <w:rPr>
                <w:rFonts w:hint="eastAsia" w:ascii="仿宋" w:hAnsi="仿宋" w:eastAsia="仿宋" w:cs="仿宋"/>
                <w:sz w:val="24"/>
                <w:szCs w:val="24"/>
              </w:rPr>
            </w:pPr>
          </w:p>
          <w:p>
            <w:pPr>
              <w:pStyle w:val="54"/>
              <w:ind w:right="88"/>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088" w:type="dxa"/>
            <w:noWrap w:val="0"/>
            <w:vAlign w:val="center"/>
          </w:tcPr>
          <w:p>
            <w:pPr>
              <w:pStyle w:val="54"/>
              <w:spacing w:before="158"/>
              <w:jc w:val="center"/>
              <w:rPr>
                <w:rFonts w:hint="eastAsia" w:ascii="仿宋" w:hAnsi="仿宋" w:eastAsia="仿宋" w:cs="仿宋"/>
                <w:sz w:val="24"/>
                <w:szCs w:val="24"/>
              </w:rPr>
            </w:pPr>
            <w:r>
              <w:rPr>
                <w:rFonts w:hint="eastAsia" w:ascii="仿宋" w:hAnsi="仿宋" w:eastAsia="仿宋" w:cs="仿宋"/>
                <w:sz w:val="24"/>
                <w:szCs w:val="24"/>
                <w:lang w:val="en-US" w:eastAsia="zh-CN"/>
              </w:rPr>
              <w:t>技术部分</w:t>
            </w:r>
          </w:p>
        </w:tc>
        <w:tc>
          <w:tcPr>
            <w:tcW w:w="1008" w:type="dxa"/>
            <w:noWrap w:val="0"/>
            <w:vAlign w:val="center"/>
          </w:tcPr>
          <w:p>
            <w:pPr>
              <w:pStyle w:val="54"/>
              <w:ind w:right="1" w:rightChars="0"/>
              <w:jc w:val="center"/>
              <w:rPr>
                <w:rFonts w:hint="default" w:ascii="Times New Roman" w:hAnsi="Times New Roman" w:cs="Times New Roman"/>
                <w:lang w:val="en-US" w:eastAsia="zh-CN"/>
              </w:rPr>
            </w:pPr>
            <w:r>
              <w:rPr>
                <w:rFonts w:hint="eastAsia" w:ascii="仿宋" w:hAnsi="仿宋" w:eastAsia="仿宋" w:cs="仿宋"/>
                <w:kern w:val="2"/>
                <w:sz w:val="24"/>
                <w:szCs w:val="24"/>
                <w:lang w:val="en-US" w:eastAsia="zh-CN" w:bidi="zh-CN"/>
              </w:rPr>
              <w:t>28</w:t>
            </w:r>
            <w:r>
              <w:rPr>
                <w:rFonts w:hint="eastAsia" w:ascii="Times New Roman" w:hAnsi="Times New Roman" w:cs="Times New Roman"/>
                <w:lang w:val="en-US" w:eastAsia="zh-CN"/>
              </w:rPr>
              <w:t>分</w:t>
            </w:r>
          </w:p>
        </w:tc>
        <w:tc>
          <w:tcPr>
            <w:tcW w:w="6516" w:type="dxa"/>
            <w:noWrap w:val="0"/>
            <w:vAlign w:val="center"/>
          </w:tcPr>
          <w:p>
            <w:pPr>
              <w:keepNext w:val="0"/>
              <w:keepLines w:val="0"/>
              <w:widowControl/>
              <w:suppressLineNumbers w:val="0"/>
              <w:jc w:val="left"/>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投标人所提供的产品满足招标文件技术指标、参数的得 13分，以此为基础，投标文件技术指标、参数优于招标文件规定的</w:t>
            </w:r>
            <w:r>
              <w:rPr>
                <w:rFonts w:hint="eastAsia" w:ascii="仿宋" w:hAnsi="仿宋" w:cs="仿宋"/>
                <w:sz w:val="24"/>
                <w:szCs w:val="24"/>
                <w:lang w:val="en-US" w:eastAsia="zh-CN"/>
              </w:rPr>
              <w:t>指标项</w:t>
            </w:r>
            <w:r>
              <w:rPr>
                <w:rFonts w:hint="eastAsia" w:ascii="仿宋" w:hAnsi="仿宋" w:eastAsia="仿宋" w:cs="仿宋"/>
                <w:sz w:val="24"/>
                <w:szCs w:val="24"/>
                <w:lang w:val="en-US" w:eastAsia="zh-CN"/>
              </w:rPr>
              <w:t>相应技术指标、参数的，给予加分，加分</w:t>
            </w:r>
            <w:r>
              <w:rPr>
                <w:rFonts w:hint="eastAsia" w:ascii="仿宋" w:hAnsi="仿宋" w:cs="仿宋"/>
                <w:sz w:val="24"/>
                <w:szCs w:val="24"/>
                <w:lang w:val="en-US" w:eastAsia="zh-CN"/>
              </w:rPr>
              <w:t>最高</w:t>
            </w:r>
            <w:r>
              <w:rPr>
                <w:rFonts w:hint="eastAsia" w:ascii="仿宋" w:hAnsi="仿宋" w:eastAsia="仿宋" w:cs="仿宋"/>
                <w:sz w:val="24"/>
                <w:szCs w:val="24"/>
                <w:lang w:val="en-US" w:eastAsia="zh-CN"/>
              </w:rPr>
              <w:t>至所设标准分为止</w:t>
            </w:r>
            <w:r>
              <w:rPr>
                <w:rFonts w:hint="eastAsia" w:ascii="仿宋" w:hAnsi="仿宋" w:cs="仿宋"/>
                <w:sz w:val="24"/>
                <w:szCs w:val="24"/>
                <w:lang w:val="en-US" w:eastAsia="zh-CN"/>
              </w:rPr>
              <w:t>，加分不重复累计计算</w:t>
            </w:r>
            <w:r>
              <w:rPr>
                <w:rFonts w:hint="eastAsia" w:ascii="仿宋" w:hAnsi="仿宋" w:eastAsia="仿宋" w:cs="仿宋"/>
                <w:sz w:val="24"/>
                <w:szCs w:val="24"/>
                <w:lang w:val="en-US" w:eastAsia="zh-CN"/>
              </w:rPr>
              <w:t>。（</w:t>
            </w:r>
            <w:r>
              <w:rPr>
                <w:rFonts w:hint="eastAsia" w:ascii="仿宋" w:hAnsi="仿宋" w:cs="仿宋"/>
                <w:sz w:val="24"/>
                <w:szCs w:val="24"/>
                <w:lang w:val="en-US" w:eastAsia="zh-CN"/>
              </w:rPr>
              <w:t>评审</w:t>
            </w:r>
            <w:r>
              <w:rPr>
                <w:rFonts w:hint="eastAsia" w:ascii="仿宋" w:hAnsi="仿宋" w:eastAsia="仿宋" w:cs="仿宋"/>
                <w:sz w:val="24"/>
                <w:szCs w:val="24"/>
                <w:lang w:val="en-US" w:eastAsia="zh-CN"/>
              </w:rPr>
              <w:t>依据以</w:t>
            </w:r>
            <w:r>
              <w:rPr>
                <w:rFonts w:hint="eastAsia" w:ascii="仿宋" w:hAnsi="仿宋" w:cs="仿宋"/>
                <w:sz w:val="24"/>
                <w:szCs w:val="24"/>
                <w:lang w:val="en-US" w:eastAsia="zh-CN"/>
              </w:rPr>
              <w:t>投标人提供的</w:t>
            </w:r>
            <w:r>
              <w:rPr>
                <w:rFonts w:hint="eastAsia" w:ascii="仿宋" w:hAnsi="仿宋" w:eastAsia="仿宋" w:cs="仿宋"/>
                <w:sz w:val="24"/>
                <w:szCs w:val="24"/>
                <w:lang w:val="en-US" w:eastAsia="zh-CN"/>
              </w:rPr>
              <w:t>检验报告为准）。</w:t>
            </w:r>
          </w:p>
          <w:p>
            <w:pPr>
              <w:adjustRightInd w:val="0"/>
              <w:snapToGrid w:val="0"/>
              <w:spacing w:line="360" w:lineRule="auto"/>
              <w:ind w:right="105" w:rightChars="5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大米加分项：</w:t>
            </w:r>
          </w:p>
          <w:p>
            <w:pPr>
              <w:adjustRightInd w:val="0"/>
              <w:snapToGrid w:val="0"/>
              <w:spacing w:line="360" w:lineRule="auto"/>
              <w:ind w:right="105" w:rightChars="5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垩白度：1.9%-1.7%得1分</w:t>
            </w:r>
            <w:r>
              <w:rPr>
                <w:rFonts w:hint="eastAsia" w:ascii="仿宋" w:hAnsi="仿宋" w:cs="仿宋"/>
                <w:sz w:val="24"/>
                <w:szCs w:val="24"/>
                <w:lang w:val="en-US" w:eastAsia="zh-CN"/>
              </w:rPr>
              <w:t>；</w:t>
            </w:r>
            <w:r>
              <w:rPr>
                <w:rFonts w:hint="eastAsia" w:ascii="仿宋" w:hAnsi="仿宋" w:eastAsia="仿宋" w:cs="仿宋"/>
                <w:sz w:val="24"/>
                <w:szCs w:val="24"/>
                <w:lang w:val="en-US" w:eastAsia="zh-CN"/>
              </w:rPr>
              <w:t>1.6%-1.4%得2分</w:t>
            </w:r>
            <w:r>
              <w:rPr>
                <w:rFonts w:hint="eastAsia" w:ascii="仿宋" w:hAnsi="仿宋" w:cs="仿宋"/>
                <w:sz w:val="24"/>
                <w:szCs w:val="24"/>
                <w:lang w:val="en-US" w:eastAsia="zh-CN"/>
              </w:rPr>
              <w:t>；</w:t>
            </w:r>
            <w:r>
              <w:rPr>
                <w:rFonts w:hint="eastAsia" w:ascii="仿宋" w:hAnsi="仿宋" w:eastAsia="仿宋" w:cs="仿宋"/>
                <w:sz w:val="24"/>
                <w:szCs w:val="24"/>
                <w:lang w:val="en-US" w:eastAsia="zh-CN"/>
              </w:rPr>
              <w:t>1.3%以下得2.5分。</w:t>
            </w:r>
          </w:p>
          <w:p>
            <w:pPr>
              <w:adjustRightInd w:val="0"/>
              <w:snapToGrid w:val="0"/>
              <w:spacing w:line="360" w:lineRule="auto"/>
              <w:ind w:right="105" w:rightChars="5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粳米的碎米总量：4.9%-4.5%得1分</w:t>
            </w:r>
            <w:r>
              <w:rPr>
                <w:rFonts w:hint="eastAsia" w:ascii="仿宋" w:hAnsi="仿宋" w:cs="仿宋"/>
                <w:sz w:val="24"/>
                <w:szCs w:val="24"/>
                <w:lang w:val="en-US" w:eastAsia="zh-CN"/>
              </w:rPr>
              <w:t>；</w:t>
            </w:r>
            <w:r>
              <w:rPr>
                <w:rFonts w:hint="eastAsia" w:ascii="仿宋" w:hAnsi="仿宋" w:eastAsia="仿宋" w:cs="仿宋"/>
                <w:sz w:val="24"/>
                <w:szCs w:val="24"/>
                <w:lang w:val="en-US" w:eastAsia="zh-CN"/>
              </w:rPr>
              <w:t>4.4%-4.0%得2分</w:t>
            </w:r>
            <w:r>
              <w:rPr>
                <w:rFonts w:hint="eastAsia" w:ascii="仿宋" w:hAnsi="仿宋" w:cs="仿宋"/>
                <w:sz w:val="24"/>
                <w:szCs w:val="24"/>
                <w:lang w:val="en-US" w:eastAsia="zh-CN"/>
              </w:rPr>
              <w:t>；</w:t>
            </w:r>
            <w:r>
              <w:rPr>
                <w:rFonts w:hint="eastAsia" w:ascii="仿宋" w:hAnsi="仿宋" w:eastAsia="仿宋" w:cs="仿宋"/>
                <w:sz w:val="24"/>
                <w:szCs w:val="24"/>
                <w:lang w:val="en-US" w:eastAsia="zh-CN"/>
              </w:rPr>
              <w:t>3.9%以下得2.5分。</w:t>
            </w:r>
          </w:p>
          <w:p>
            <w:pPr>
              <w:adjustRightInd w:val="0"/>
              <w:snapToGrid w:val="0"/>
              <w:spacing w:line="360" w:lineRule="auto"/>
              <w:ind w:right="105" w:rightChars="5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大豆油加分项：</w:t>
            </w:r>
          </w:p>
          <w:p>
            <w:pPr>
              <w:adjustRightInd w:val="0"/>
              <w:snapToGrid w:val="0"/>
              <w:spacing w:line="360" w:lineRule="auto"/>
              <w:ind w:right="105" w:rightChars="5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酸价（KOH）（mg/g）：0.49-0.40</w:t>
            </w:r>
            <w:r>
              <w:rPr>
                <w:rFonts w:hint="eastAsia" w:ascii="仿宋" w:hAnsi="仿宋" w:eastAsia="仿宋" w:cs="仿宋"/>
                <w:sz w:val="24"/>
                <w:szCs w:val="24"/>
              </w:rPr>
              <w:t>得</w:t>
            </w:r>
            <w:r>
              <w:rPr>
                <w:rFonts w:hint="eastAsia" w:ascii="仿宋" w:hAnsi="仿宋" w:eastAsia="仿宋" w:cs="仿宋"/>
                <w:sz w:val="24"/>
                <w:szCs w:val="24"/>
                <w:lang w:val="en-US" w:eastAsia="zh-CN"/>
              </w:rPr>
              <w:t>1</w:t>
            </w:r>
            <w:r>
              <w:rPr>
                <w:rFonts w:hint="eastAsia" w:ascii="仿宋" w:hAnsi="仿宋" w:eastAsia="仿宋" w:cs="仿宋"/>
                <w:sz w:val="24"/>
                <w:szCs w:val="24"/>
              </w:rPr>
              <w:t>分</w:t>
            </w:r>
            <w:r>
              <w:rPr>
                <w:rFonts w:hint="eastAsia" w:ascii="仿宋" w:hAnsi="仿宋" w:cs="仿宋"/>
                <w:sz w:val="24"/>
                <w:szCs w:val="24"/>
                <w:lang w:eastAsia="zh-CN"/>
              </w:rPr>
              <w:t>；</w:t>
            </w:r>
            <w:r>
              <w:rPr>
                <w:rFonts w:hint="eastAsia" w:ascii="仿宋" w:hAnsi="仿宋" w:eastAsia="仿宋" w:cs="仿宋"/>
                <w:sz w:val="24"/>
                <w:szCs w:val="24"/>
                <w:lang w:val="en-US" w:eastAsia="zh-CN"/>
              </w:rPr>
              <w:t>0.39-0.30</w:t>
            </w:r>
            <w:r>
              <w:rPr>
                <w:rFonts w:hint="eastAsia" w:ascii="仿宋" w:hAnsi="仿宋" w:eastAsia="仿宋" w:cs="仿宋"/>
                <w:sz w:val="24"/>
                <w:szCs w:val="24"/>
              </w:rPr>
              <w:t>得</w:t>
            </w:r>
            <w:r>
              <w:rPr>
                <w:rFonts w:hint="eastAsia" w:ascii="仿宋" w:hAnsi="仿宋" w:eastAsia="仿宋" w:cs="仿宋"/>
                <w:sz w:val="24"/>
                <w:szCs w:val="24"/>
                <w:lang w:val="en-US" w:eastAsia="zh-CN"/>
              </w:rPr>
              <w:t>1.5</w:t>
            </w:r>
            <w:r>
              <w:rPr>
                <w:rFonts w:hint="eastAsia" w:ascii="仿宋" w:hAnsi="仿宋" w:eastAsia="仿宋" w:cs="仿宋"/>
                <w:sz w:val="24"/>
                <w:szCs w:val="24"/>
              </w:rPr>
              <w:t>分</w:t>
            </w:r>
            <w:r>
              <w:rPr>
                <w:rFonts w:hint="eastAsia" w:ascii="仿宋" w:hAnsi="仿宋" w:cs="仿宋"/>
                <w:sz w:val="24"/>
                <w:szCs w:val="24"/>
                <w:lang w:eastAsia="zh-CN"/>
              </w:rPr>
              <w:t>；</w:t>
            </w:r>
            <w:r>
              <w:rPr>
                <w:rFonts w:hint="eastAsia" w:ascii="仿宋" w:hAnsi="仿宋" w:eastAsia="仿宋" w:cs="仿宋"/>
                <w:sz w:val="24"/>
                <w:szCs w:val="24"/>
                <w:lang w:val="en-US" w:eastAsia="zh-CN"/>
              </w:rPr>
              <w:t>0.29-0.20</w:t>
            </w:r>
            <w:r>
              <w:rPr>
                <w:rFonts w:hint="eastAsia" w:ascii="仿宋" w:hAnsi="仿宋" w:eastAsia="仿宋" w:cs="仿宋"/>
                <w:sz w:val="24"/>
                <w:szCs w:val="24"/>
              </w:rPr>
              <w:t>得</w:t>
            </w:r>
            <w:r>
              <w:rPr>
                <w:rFonts w:hint="eastAsia" w:ascii="仿宋" w:hAnsi="仿宋" w:eastAsia="仿宋" w:cs="仿宋"/>
                <w:sz w:val="24"/>
                <w:szCs w:val="24"/>
                <w:lang w:val="en-US" w:eastAsia="zh-CN"/>
              </w:rPr>
              <w:t>2</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0.19以下</w:t>
            </w:r>
            <w:r>
              <w:rPr>
                <w:rFonts w:hint="eastAsia" w:ascii="仿宋" w:hAnsi="仿宋" w:eastAsia="仿宋" w:cs="仿宋"/>
                <w:sz w:val="24"/>
                <w:szCs w:val="24"/>
              </w:rPr>
              <w:t>得</w:t>
            </w:r>
            <w:r>
              <w:rPr>
                <w:rFonts w:hint="eastAsia" w:ascii="仿宋" w:hAnsi="仿宋" w:eastAsia="仿宋" w:cs="仿宋"/>
                <w:sz w:val="24"/>
                <w:szCs w:val="24"/>
                <w:lang w:val="en-US" w:eastAsia="zh-CN"/>
              </w:rPr>
              <w:t>2.5</w:t>
            </w:r>
            <w:r>
              <w:rPr>
                <w:rFonts w:hint="eastAsia" w:ascii="仿宋" w:hAnsi="仿宋" w:eastAsia="仿宋" w:cs="仿宋"/>
                <w:sz w:val="24"/>
                <w:szCs w:val="24"/>
              </w:rPr>
              <w:t>分</w:t>
            </w:r>
            <w:r>
              <w:rPr>
                <w:rFonts w:hint="eastAsia" w:ascii="仿宋" w:hAnsi="仿宋" w:eastAsia="仿宋" w:cs="仿宋"/>
                <w:sz w:val="24"/>
                <w:szCs w:val="24"/>
                <w:lang w:val="en-US" w:eastAsia="zh-CN"/>
              </w:rPr>
              <w:t>。</w:t>
            </w:r>
          </w:p>
          <w:p>
            <w:pPr>
              <w:adjustRightInd w:val="0"/>
              <w:snapToGrid w:val="0"/>
              <w:spacing w:line="360" w:lineRule="auto"/>
              <w:ind w:right="105" w:rightChars="5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过氧化值（mmol/kg）：4.9-4.5得1分</w:t>
            </w:r>
            <w:r>
              <w:rPr>
                <w:rFonts w:hint="eastAsia" w:ascii="仿宋" w:hAnsi="仿宋" w:cs="仿宋"/>
                <w:sz w:val="24"/>
                <w:szCs w:val="24"/>
                <w:lang w:val="en-US" w:eastAsia="zh-CN"/>
              </w:rPr>
              <w:t>；</w:t>
            </w:r>
            <w:r>
              <w:rPr>
                <w:rFonts w:hint="eastAsia" w:ascii="仿宋" w:hAnsi="仿宋" w:eastAsia="仿宋" w:cs="仿宋"/>
                <w:sz w:val="24"/>
                <w:szCs w:val="24"/>
                <w:lang w:val="en-US" w:eastAsia="zh-CN"/>
              </w:rPr>
              <w:t>4.4-4.0得2分</w:t>
            </w:r>
            <w:r>
              <w:rPr>
                <w:rFonts w:hint="eastAsia" w:ascii="仿宋" w:hAnsi="仿宋" w:cs="仿宋"/>
                <w:sz w:val="24"/>
                <w:szCs w:val="24"/>
                <w:lang w:val="en-US" w:eastAsia="zh-CN"/>
              </w:rPr>
              <w:t>；</w:t>
            </w:r>
            <w:r>
              <w:rPr>
                <w:rFonts w:hint="eastAsia" w:ascii="仿宋" w:hAnsi="仿宋" w:eastAsia="仿宋" w:cs="仿宋"/>
                <w:sz w:val="24"/>
                <w:szCs w:val="24"/>
                <w:lang w:val="en-US" w:eastAsia="zh-CN"/>
              </w:rPr>
              <w:t>3.9以下得2.5分。</w:t>
            </w:r>
          </w:p>
          <w:p>
            <w:pPr>
              <w:adjustRightInd w:val="0"/>
              <w:snapToGrid w:val="0"/>
              <w:spacing w:line="360" w:lineRule="auto"/>
              <w:ind w:right="105" w:rightChars="50"/>
              <w:jc w:val="left"/>
              <w:rPr>
                <w:rFonts w:hint="eastAsia" w:ascii="仿宋" w:hAnsi="仿宋" w:eastAsia="仿宋" w:cs="仿宋"/>
                <w:kern w:val="2"/>
                <w:sz w:val="24"/>
                <w:szCs w:val="24"/>
                <w:lang w:val="en-US" w:eastAsia="zh-CN" w:bidi="zh-CN"/>
              </w:rPr>
            </w:pPr>
            <w:r>
              <w:rPr>
                <w:rFonts w:hint="eastAsia" w:ascii="仿宋" w:hAnsi="仿宋" w:eastAsia="仿宋" w:cs="仿宋"/>
                <w:kern w:val="2"/>
                <w:sz w:val="24"/>
                <w:szCs w:val="24"/>
                <w:lang w:val="en-US" w:eastAsia="zh-CN" w:bidi="zh-CN"/>
              </w:rPr>
              <w:t>提供大豆油的非转基因检测报告的得</w:t>
            </w:r>
            <w:r>
              <w:rPr>
                <w:rFonts w:hint="eastAsia" w:ascii="仿宋" w:hAnsi="仿宋" w:cs="仿宋"/>
                <w:kern w:val="2"/>
                <w:sz w:val="24"/>
                <w:szCs w:val="24"/>
                <w:lang w:val="en-US" w:eastAsia="zh-CN" w:bidi="zh-CN"/>
              </w:rPr>
              <w:t>5</w:t>
            </w:r>
            <w:r>
              <w:rPr>
                <w:rFonts w:hint="eastAsia" w:ascii="仿宋" w:hAnsi="仿宋" w:eastAsia="仿宋" w:cs="仿宋"/>
                <w:kern w:val="2"/>
                <w:sz w:val="24"/>
                <w:szCs w:val="24"/>
                <w:lang w:val="en-US" w:eastAsia="zh-CN" w:bidi="zh-CN"/>
              </w:rPr>
              <w:t>分；不提供</w:t>
            </w:r>
            <w:r>
              <w:rPr>
                <w:rFonts w:hint="eastAsia" w:ascii="仿宋" w:hAnsi="仿宋" w:cs="仿宋"/>
                <w:kern w:val="2"/>
                <w:sz w:val="24"/>
                <w:szCs w:val="24"/>
                <w:lang w:val="en-US" w:eastAsia="zh-CN" w:bidi="zh-CN"/>
              </w:rPr>
              <w:t>或不满足规定要求的</w:t>
            </w:r>
            <w:r>
              <w:rPr>
                <w:rFonts w:hint="eastAsia" w:ascii="仿宋" w:hAnsi="仿宋" w:eastAsia="仿宋" w:cs="仿宋"/>
                <w:kern w:val="2"/>
                <w:sz w:val="24"/>
                <w:szCs w:val="24"/>
                <w:lang w:val="en-US" w:eastAsia="zh-CN" w:bidi="zh-CN"/>
              </w:rPr>
              <w:t>不得分</w:t>
            </w:r>
          </w:p>
          <w:p>
            <w:pPr>
              <w:pStyle w:val="2"/>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0" w:hRule="atLeast"/>
        </w:trPr>
        <w:tc>
          <w:tcPr>
            <w:tcW w:w="885" w:type="dxa"/>
            <w:noWrap w:val="0"/>
            <w:vAlign w:val="center"/>
          </w:tcPr>
          <w:p>
            <w:pPr>
              <w:pStyle w:val="54"/>
              <w:ind w:right="88"/>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088" w:type="dxa"/>
            <w:noWrap w:val="0"/>
            <w:vAlign w:val="center"/>
          </w:tcPr>
          <w:p>
            <w:pPr>
              <w:pStyle w:val="54"/>
              <w:spacing w:before="158"/>
              <w:jc w:val="center"/>
              <w:rPr>
                <w:rFonts w:hint="eastAsia" w:ascii="仿宋" w:hAnsi="仿宋" w:eastAsia="仿宋" w:cs="仿宋"/>
                <w:kern w:val="2"/>
                <w:sz w:val="24"/>
                <w:szCs w:val="24"/>
                <w:lang w:val="zh-CN" w:eastAsia="zh-CN" w:bidi="zh-CN"/>
              </w:rPr>
            </w:pPr>
            <w:r>
              <w:rPr>
                <w:rFonts w:hint="eastAsia" w:ascii="仿宋" w:hAnsi="仿宋" w:eastAsia="仿宋" w:cs="仿宋"/>
                <w:sz w:val="24"/>
                <w:szCs w:val="24"/>
                <w:lang w:eastAsia="zh-CN"/>
              </w:rPr>
              <w:t>项目组织</w:t>
            </w:r>
            <w:r>
              <w:rPr>
                <w:rFonts w:hint="eastAsia" w:ascii="仿宋" w:hAnsi="仿宋" w:eastAsia="仿宋" w:cs="仿宋"/>
                <w:sz w:val="24"/>
                <w:szCs w:val="24"/>
              </w:rPr>
              <w:t>实施方案</w:t>
            </w:r>
          </w:p>
        </w:tc>
        <w:tc>
          <w:tcPr>
            <w:tcW w:w="1008" w:type="dxa"/>
            <w:noWrap w:val="0"/>
            <w:vAlign w:val="center"/>
          </w:tcPr>
          <w:p>
            <w:pPr>
              <w:pStyle w:val="54"/>
              <w:jc w:val="center"/>
              <w:rPr>
                <w:rFonts w:hint="eastAsia" w:ascii="仿宋" w:hAnsi="仿宋" w:eastAsia="仿宋" w:cs="仿宋"/>
                <w:sz w:val="24"/>
                <w:szCs w:val="24"/>
              </w:rPr>
            </w:pPr>
          </w:p>
          <w:p>
            <w:pPr>
              <w:pStyle w:val="54"/>
              <w:jc w:val="center"/>
              <w:rPr>
                <w:rFonts w:hint="eastAsia" w:ascii="仿宋" w:hAnsi="仿宋" w:eastAsia="仿宋" w:cs="仿宋"/>
                <w:sz w:val="24"/>
                <w:szCs w:val="24"/>
              </w:rPr>
            </w:pPr>
          </w:p>
          <w:p>
            <w:pPr>
              <w:pStyle w:val="54"/>
              <w:ind w:right="1" w:rightChars="0"/>
              <w:jc w:val="center"/>
              <w:rPr>
                <w:rFonts w:hint="eastAsia" w:ascii="仿宋" w:hAnsi="仿宋" w:eastAsia="仿宋" w:cs="仿宋"/>
                <w:kern w:val="2"/>
                <w:sz w:val="24"/>
                <w:szCs w:val="24"/>
                <w:lang w:val="en-US" w:eastAsia="zh-CN" w:bidi="zh-CN"/>
              </w:rPr>
            </w:pPr>
            <w:r>
              <w:rPr>
                <w:rFonts w:hint="eastAsia" w:ascii="仿宋" w:hAnsi="仿宋" w:eastAsia="仿宋" w:cs="仿宋"/>
                <w:sz w:val="24"/>
                <w:szCs w:val="24"/>
                <w:lang w:val="en-US" w:eastAsia="zh-CN"/>
              </w:rPr>
              <w:t>20</w:t>
            </w:r>
            <w:r>
              <w:rPr>
                <w:rFonts w:hint="eastAsia" w:ascii="仿宋" w:hAnsi="仿宋" w:eastAsia="仿宋" w:cs="仿宋"/>
                <w:sz w:val="24"/>
                <w:szCs w:val="24"/>
              </w:rPr>
              <w:t>分</w:t>
            </w:r>
          </w:p>
        </w:tc>
        <w:tc>
          <w:tcPr>
            <w:tcW w:w="6516" w:type="dxa"/>
            <w:noWrap w:val="0"/>
            <w:vAlign w:val="center"/>
          </w:tcPr>
          <w:p>
            <w:pPr>
              <w:pStyle w:val="54"/>
              <w:spacing w:before="4" w:line="362" w:lineRule="auto"/>
              <w:ind w:right="99"/>
              <w:jc w:val="left"/>
              <w:rPr>
                <w:rFonts w:hint="eastAsia" w:ascii="仿宋" w:hAnsi="仿宋" w:eastAsia="仿宋" w:cs="仿宋"/>
                <w:sz w:val="24"/>
                <w:szCs w:val="24"/>
              </w:rPr>
            </w:pPr>
            <w:r>
              <w:rPr>
                <w:rFonts w:hint="eastAsia" w:ascii="仿宋" w:hAnsi="仿宋" w:eastAsia="仿宋" w:cs="仿宋"/>
                <w:spacing w:val="-8"/>
                <w:sz w:val="24"/>
                <w:szCs w:val="24"/>
              </w:rPr>
              <w:t>根据投标人提供的实施方案</w:t>
            </w:r>
            <w:r>
              <w:rPr>
                <w:rFonts w:hint="eastAsia" w:ascii="仿宋" w:hAnsi="仿宋" w:eastAsia="仿宋" w:cs="仿宋"/>
                <w:sz w:val="24"/>
                <w:szCs w:val="24"/>
              </w:rPr>
              <w:t>进行综合</w:t>
            </w:r>
            <w:r>
              <w:rPr>
                <w:rFonts w:hint="eastAsia" w:ascii="仿宋" w:hAnsi="仿宋" w:eastAsia="仿宋" w:cs="仿宋"/>
                <w:sz w:val="24"/>
                <w:szCs w:val="24"/>
                <w:lang w:eastAsia="zh-CN"/>
              </w:rPr>
              <w:t>比较评审</w:t>
            </w:r>
            <w:r>
              <w:rPr>
                <w:rFonts w:hint="eastAsia" w:ascii="仿宋" w:hAnsi="仿宋" w:eastAsia="仿宋" w:cs="仿宋"/>
                <w:sz w:val="24"/>
                <w:szCs w:val="24"/>
              </w:rPr>
              <w:t>：</w:t>
            </w:r>
          </w:p>
          <w:p>
            <w:pPr>
              <w:pStyle w:val="54"/>
              <w:spacing w:before="4" w:line="362" w:lineRule="auto"/>
              <w:ind w:right="99"/>
              <w:jc w:val="left"/>
              <w:rPr>
                <w:rFonts w:hint="eastAsia" w:ascii="仿宋" w:hAnsi="仿宋" w:eastAsia="仿宋" w:cs="仿宋"/>
                <w:sz w:val="24"/>
                <w:szCs w:val="24"/>
              </w:rPr>
            </w:pPr>
            <w:r>
              <w:rPr>
                <w:rFonts w:hint="eastAsia" w:ascii="仿宋" w:hAnsi="仿宋" w:eastAsia="仿宋" w:cs="仿宋"/>
                <w:kern w:val="0"/>
                <w:sz w:val="24"/>
                <w:szCs w:val="24"/>
              </w:rPr>
              <w:t>货物的质量保证措施</w:t>
            </w:r>
            <w:r>
              <w:rPr>
                <w:rFonts w:hint="eastAsia" w:ascii="仿宋" w:hAnsi="仿宋" w:eastAsia="仿宋" w:cs="仿宋"/>
                <w:kern w:val="0"/>
                <w:sz w:val="24"/>
                <w:szCs w:val="24"/>
                <w:lang w:eastAsia="zh-CN"/>
              </w:rPr>
              <w:t>：</w:t>
            </w:r>
            <w:r>
              <w:rPr>
                <w:rFonts w:hint="eastAsia" w:ascii="仿宋" w:hAnsi="仿宋" w:eastAsia="仿宋" w:cs="仿宋"/>
                <w:sz w:val="24"/>
                <w:szCs w:val="24"/>
              </w:rPr>
              <w:t>货物的质量保证措施完全满足或优于采购人的实际要求、措施合理有效的得</w:t>
            </w:r>
            <w:r>
              <w:rPr>
                <w:rFonts w:hint="eastAsia" w:ascii="仿宋" w:hAnsi="仿宋" w:eastAsia="仿宋" w:cs="仿宋"/>
                <w:sz w:val="24"/>
                <w:szCs w:val="24"/>
                <w:lang w:val="en-US" w:eastAsia="zh-CN"/>
              </w:rPr>
              <w:t>4-5</w:t>
            </w:r>
            <w:r>
              <w:rPr>
                <w:rFonts w:hint="eastAsia" w:ascii="仿宋" w:hAnsi="仿宋" w:eastAsia="仿宋" w:cs="仿宋"/>
                <w:sz w:val="24"/>
                <w:szCs w:val="24"/>
              </w:rPr>
              <w:t>分；基本满足采购人的实际要求、措施基本有效的得</w:t>
            </w:r>
            <w:r>
              <w:rPr>
                <w:rFonts w:hint="eastAsia" w:ascii="仿宋" w:hAnsi="仿宋" w:eastAsia="仿宋" w:cs="仿宋"/>
                <w:sz w:val="24"/>
                <w:szCs w:val="24"/>
                <w:lang w:val="en-US" w:eastAsia="zh-CN"/>
              </w:rPr>
              <w:t>1-</w:t>
            </w:r>
            <w:r>
              <w:rPr>
                <w:rFonts w:hint="eastAsia" w:ascii="仿宋" w:hAnsi="仿宋" w:eastAsia="仿宋" w:cs="仿宋"/>
                <w:sz w:val="24"/>
                <w:szCs w:val="24"/>
              </w:rPr>
              <w:t>3分；货物的质量保证措施不满足采购人的实际要求或不提供的得0分。</w:t>
            </w:r>
          </w:p>
          <w:p>
            <w:pPr>
              <w:pStyle w:val="54"/>
              <w:spacing w:before="4" w:line="362" w:lineRule="auto"/>
              <w:ind w:right="99"/>
              <w:jc w:val="left"/>
              <w:rPr>
                <w:rFonts w:hint="eastAsia" w:ascii="仿宋" w:hAnsi="仿宋" w:eastAsia="仿宋" w:cs="仿宋"/>
                <w:sz w:val="24"/>
                <w:szCs w:val="24"/>
                <w:lang w:eastAsia="zh-CN"/>
              </w:rPr>
            </w:pPr>
            <w:r>
              <w:rPr>
                <w:rFonts w:hint="eastAsia" w:ascii="仿宋" w:hAnsi="仿宋" w:eastAsia="仿宋" w:cs="仿宋"/>
                <w:kern w:val="0"/>
                <w:sz w:val="24"/>
                <w:szCs w:val="24"/>
                <w:lang w:eastAsia="zh-CN"/>
              </w:rPr>
              <w:t>货物储存</w:t>
            </w:r>
            <w:r>
              <w:rPr>
                <w:rFonts w:hint="eastAsia" w:ascii="仿宋" w:hAnsi="仿宋" w:eastAsia="仿宋" w:cs="仿宋"/>
                <w:kern w:val="0"/>
                <w:sz w:val="24"/>
                <w:szCs w:val="24"/>
              </w:rPr>
              <w:t>保障措施</w:t>
            </w:r>
            <w:r>
              <w:rPr>
                <w:rFonts w:hint="eastAsia" w:ascii="仿宋" w:hAnsi="仿宋" w:eastAsia="仿宋" w:cs="仿宋"/>
                <w:kern w:val="0"/>
                <w:sz w:val="24"/>
                <w:szCs w:val="24"/>
                <w:lang w:eastAsia="zh-CN"/>
              </w:rPr>
              <w:t>：</w:t>
            </w:r>
            <w:r>
              <w:rPr>
                <w:rFonts w:hint="eastAsia" w:ascii="仿宋" w:hAnsi="仿宋" w:eastAsia="仿宋" w:cs="仿宋"/>
                <w:sz w:val="24"/>
                <w:szCs w:val="24"/>
                <w:lang w:eastAsia="zh-CN"/>
              </w:rPr>
              <w:t>货物储存</w:t>
            </w:r>
            <w:r>
              <w:rPr>
                <w:rFonts w:hint="eastAsia" w:ascii="仿宋" w:hAnsi="仿宋" w:eastAsia="仿宋" w:cs="仿宋"/>
                <w:sz w:val="24"/>
                <w:szCs w:val="24"/>
              </w:rPr>
              <w:t>保障措施合理有效、操作性强、完全满足或优于采购人的实际要求的得</w:t>
            </w:r>
            <w:r>
              <w:rPr>
                <w:rFonts w:hint="eastAsia" w:ascii="仿宋" w:hAnsi="仿宋" w:eastAsia="仿宋" w:cs="仿宋"/>
                <w:sz w:val="24"/>
                <w:szCs w:val="24"/>
                <w:lang w:val="en-US" w:eastAsia="zh-CN"/>
              </w:rPr>
              <w:t>4-5</w:t>
            </w:r>
            <w:r>
              <w:rPr>
                <w:rFonts w:hint="eastAsia" w:ascii="仿宋" w:hAnsi="仿宋" w:eastAsia="仿宋" w:cs="仿宋"/>
                <w:sz w:val="24"/>
                <w:szCs w:val="24"/>
              </w:rPr>
              <w:t>分</w:t>
            </w:r>
            <w:r>
              <w:rPr>
                <w:rFonts w:hint="eastAsia" w:ascii="仿宋" w:hAnsi="仿宋" w:eastAsia="仿宋" w:cs="仿宋"/>
                <w:sz w:val="24"/>
                <w:szCs w:val="24"/>
                <w:lang w:eastAsia="zh-CN"/>
              </w:rPr>
              <w:t>；货物储存保障</w:t>
            </w:r>
            <w:r>
              <w:rPr>
                <w:rFonts w:hint="eastAsia" w:ascii="仿宋" w:hAnsi="仿宋" w:eastAsia="仿宋" w:cs="仿宋"/>
                <w:sz w:val="24"/>
                <w:szCs w:val="24"/>
              </w:rPr>
              <w:t>措施基本合理、操作性较强、基本满足采购人的实际要求的得</w:t>
            </w:r>
            <w:r>
              <w:rPr>
                <w:rFonts w:hint="eastAsia" w:ascii="仿宋" w:hAnsi="仿宋" w:eastAsia="仿宋" w:cs="仿宋"/>
                <w:sz w:val="24"/>
                <w:szCs w:val="24"/>
                <w:lang w:val="en-US" w:eastAsia="zh-CN"/>
              </w:rPr>
              <w:t>1-</w:t>
            </w:r>
            <w:r>
              <w:rPr>
                <w:rFonts w:hint="eastAsia" w:ascii="仿宋" w:hAnsi="仿宋" w:eastAsia="仿宋" w:cs="仿宋"/>
                <w:sz w:val="24"/>
                <w:szCs w:val="24"/>
              </w:rPr>
              <w:t>3分；</w:t>
            </w:r>
            <w:r>
              <w:rPr>
                <w:rFonts w:hint="eastAsia" w:ascii="仿宋" w:hAnsi="仿宋" w:eastAsia="仿宋" w:cs="仿宋"/>
                <w:sz w:val="24"/>
                <w:szCs w:val="24"/>
                <w:lang w:eastAsia="zh-CN"/>
              </w:rPr>
              <w:t>货物储存</w:t>
            </w:r>
            <w:r>
              <w:rPr>
                <w:rFonts w:hint="eastAsia" w:ascii="仿宋" w:hAnsi="仿宋" w:eastAsia="仿宋" w:cs="仿宋"/>
                <w:sz w:val="24"/>
                <w:szCs w:val="24"/>
              </w:rPr>
              <w:t>措施不满足采购人的实际要求或不提供的得0分。</w:t>
            </w:r>
          </w:p>
          <w:p>
            <w:pPr>
              <w:pStyle w:val="54"/>
              <w:spacing w:before="4" w:line="362" w:lineRule="auto"/>
              <w:ind w:right="99"/>
              <w:jc w:val="left"/>
              <w:rPr>
                <w:rFonts w:hint="eastAsia" w:ascii="仿宋" w:hAnsi="仿宋" w:eastAsia="仿宋" w:cs="仿宋"/>
                <w:sz w:val="24"/>
                <w:szCs w:val="24"/>
              </w:rPr>
            </w:pPr>
            <w:r>
              <w:rPr>
                <w:rFonts w:hint="eastAsia" w:ascii="仿宋" w:hAnsi="仿宋" w:eastAsia="仿宋" w:cs="仿宋"/>
                <w:sz w:val="24"/>
                <w:szCs w:val="24"/>
                <w:lang w:eastAsia="zh-CN"/>
              </w:rPr>
              <w:t>应急保障措施：应急保障措施合理，操作性强，</w:t>
            </w:r>
            <w:r>
              <w:rPr>
                <w:rFonts w:hint="eastAsia" w:ascii="仿宋" w:hAnsi="仿宋" w:eastAsia="仿宋" w:cs="仿宋"/>
                <w:sz w:val="24"/>
                <w:szCs w:val="24"/>
              </w:rPr>
              <w:t>完全满足或优于采购人的实际要求的得</w:t>
            </w:r>
            <w:r>
              <w:rPr>
                <w:rFonts w:hint="eastAsia" w:ascii="仿宋" w:hAnsi="仿宋" w:eastAsia="仿宋" w:cs="仿宋"/>
                <w:sz w:val="24"/>
                <w:szCs w:val="24"/>
                <w:lang w:val="en-US" w:eastAsia="zh-CN"/>
              </w:rPr>
              <w:t>4-5</w:t>
            </w:r>
            <w:r>
              <w:rPr>
                <w:rFonts w:hint="eastAsia" w:ascii="仿宋" w:hAnsi="仿宋" w:eastAsia="仿宋" w:cs="仿宋"/>
                <w:sz w:val="24"/>
                <w:szCs w:val="24"/>
              </w:rPr>
              <w:t>分；基本合理、操作性较强、基本满足采购人的实际要求的得</w:t>
            </w:r>
            <w:r>
              <w:rPr>
                <w:rFonts w:hint="eastAsia" w:ascii="仿宋" w:hAnsi="仿宋" w:eastAsia="仿宋" w:cs="仿宋"/>
                <w:sz w:val="24"/>
                <w:szCs w:val="24"/>
                <w:lang w:val="en-US" w:eastAsia="zh-CN"/>
              </w:rPr>
              <w:t>1-</w:t>
            </w:r>
            <w:r>
              <w:rPr>
                <w:rFonts w:hint="eastAsia" w:ascii="仿宋" w:hAnsi="仿宋" w:eastAsia="仿宋" w:cs="仿宋"/>
                <w:sz w:val="24"/>
                <w:szCs w:val="24"/>
              </w:rPr>
              <w:t>3分；</w:t>
            </w:r>
            <w:r>
              <w:rPr>
                <w:rFonts w:hint="eastAsia" w:ascii="仿宋" w:hAnsi="仿宋" w:eastAsia="仿宋" w:cs="仿宋"/>
                <w:sz w:val="24"/>
                <w:szCs w:val="24"/>
                <w:lang w:eastAsia="zh-CN"/>
              </w:rPr>
              <w:t>应急</w:t>
            </w:r>
            <w:r>
              <w:rPr>
                <w:rFonts w:hint="eastAsia" w:ascii="仿宋" w:hAnsi="仿宋" w:eastAsia="仿宋" w:cs="仿宋"/>
                <w:sz w:val="24"/>
                <w:szCs w:val="24"/>
              </w:rPr>
              <w:t>保障</w:t>
            </w:r>
            <w:r>
              <w:rPr>
                <w:rFonts w:hint="eastAsia" w:ascii="仿宋" w:hAnsi="仿宋" w:eastAsia="仿宋" w:cs="仿宋"/>
                <w:sz w:val="24"/>
                <w:szCs w:val="24"/>
                <w:lang w:eastAsia="zh-CN"/>
              </w:rPr>
              <w:t>措施不</w:t>
            </w:r>
            <w:r>
              <w:rPr>
                <w:rFonts w:hint="eastAsia" w:ascii="仿宋" w:hAnsi="仿宋" w:eastAsia="仿宋" w:cs="仿宋"/>
                <w:sz w:val="24"/>
                <w:szCs w:val="24"/>
              </w:rPr>
              <w:t>满足采购人的实际要求或不提供的得0分。</w:t>
            </w:r>
          </w:p>
          <w:p>
            <w:pPr>
              <w:pStyle w:val="54"/>
              <w:spacing w:before="4" w:line="362" w:lineRule="auto"/>
              <w:ind w:right="99" w:rightChars="0"/>
              <w:jc w:val="left"/>
              <w:rPr>
                <w:rFonts w:hint="eastAsia" w:ascii="仿宋" w:hAnsi="仿宋" w:eastAsia="仿宋" w:cs="仿宋"/>
                <w:kern w:val="2"/>
                <w:sz w:val="24"/>
                <w:szCs w:val="24"/>
                <w:lang w:val="zh-CN" w:eastAsia="zh-CN" w:bidi="zh-CN"/>
              </w:rPr>
            </w:pPr>
            <w:r>
              <w:rPr>
                <w:rFonts w:hint="eastAsia" w:ascii="仿宋" w:hAnsi="仿宋" w:eastAsia="仿宋" w:cs="仿宋"/>
                <w:sz w:val="24"/>
                <w:szCs w:val="24"/>
                <w:lang w:eastAsia="zh-CN"/>
              </w:rPr>
              <w:t>运输保障措施：货物运输保障措施安排合理操作性强，</w:t>
            </w:r>
            <w:r>
              <w:rPr>
                <w:rFonts w:hint="eastAsia" w:ascii="仿宋" w:hAnsi="仿宋" w:eastAsia="仿宋" w:cs="仿宋"/>
                <w:sz w:val="24"/>
                <w:szCs w:val="24"/>
              </w:rPr>
              <w:t>完全满足或优于采购人的实际要求的得</w:t>
            </w:r>
            <w:r>
              <w:rPr>
                <w:rFonts w:hint="eastAsia" w:ascii="仿宋" w:hAnsi="仿宋" w:eastAsia="仿宋" w:cs="仿宋"/>
                <w:sz w:val="24"/>
                <w:szCs w:val="24"/>
                <w:lang w:val="en-US" w:eastAsia="zh-CN"/>
              </w:rPr>
              <w:t>4-5</w:t>
            </w:r>
            <w:r>
              <w:rPr>
                <w:rFonts w:hint="eastAsia" w:ascii="仿宋" w:hAnsi="仿宋" w:eastAsia="仿宋" w:cs="仿宋"/>
                <w:sz w:val="24"/>
                <w:szCs w:val="24"/>
              </w:rPr>
              <w:t>分；基本合理、操作性较强、基本满足采购人的实际要求的得</w:t>
            </w:r>
            <w:r>
              <w:rPr>
                <w:rFonts w:hint="eastAsia" w:ascii="仿宋" w:hAnsi="仿宋" w:eastAsia="仿宋" w:cs="仿宋"/>
                <w:sz w:val="24"/>
                <w:szCs w:val="24"/>
                <w:lang w:val="en-US" w:eastAsia="zh-CN"/>
              </w:rPr>
              <w:t>1-</w:t>
            </w:r>
            <w:r>
              <w:rPr>
                <w:rFonts w:hint="eastAsia" w:ascii="仿宋" w:hAnsi="仿宋" w:eastAsia="仿宋" w:cs="仿宋"/>
                <w:sz w:val="24"/>
                <w:szCs w:val="24"/>
              </w:rPr>
              <w:t>3分；</w:t>
            </w:r>
            <w:r>
              <w:rPr>
                <w:rFonts w:hint="eastAsia" w:ascii="仿宋" w:hAnsi="仿宋" w:eastAsia="仿宋" w:cs="仿宋"/>
                <w:sz w:val="24"/>
                <w:szCs w:val="24"/>
                <w:lang w:eastAsia="zh-CN"/>
              </w:rPr>
              <w:t>运输</w:t>
            </w:r>
            <w:r>
              <w:rPr>
                <w:rFonts w:hint="eastAsia" w:ascii="仿宋" w:hAnsi="仿宋" w:eastAsia="仿宋" w:cs="仿宋"/>
                <w:sz w:val="24"/>
                <w:szCs w:val="24"/>
              </w:rPr>
              <w:t>保障</w:t>
            </w:r>
            <w:r>
              <w:rPr>
                <w:rFonts w:hint="eastAsia" w:ascii="仿宋" w:hAnsi="仿宋" w:eastAsia="仿宋" w:cs="仿宋"/>
                <w:sz w:val="24"/>
                <w:szCs w:val="24"/>
                <w:lang w:eastAsia="zh-CN"/>
              </w:rPr>
              <w:t>措施不</w:t>
            </w:r>
            <w:r>
              <w:rPr>
                <w:rFonts w:hint="eastAsia" w:ascii="仿宋" w:hAnsi="仿宋" w:eastAsia="仿宋" w:cs="仿宋"/>
                <w:sz w:val="24"/>
                <w:szCs w:val="24"/>
              </w:rPr>
              <w:t>满足采购人的实际要求或不提供的得0分。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0" w:hRule="atLeast"/>
        </w:trPr>
        <w:tc>
          <w:tcPr>
            <w:tcW w:w="885" w:type="dxa"/>
            <w:noWrap w:val="0"/>
            <w:vAlign w:val="center"/>
          </w:tcPr>
          <w:p>
            <w:pPr>
              <w:pStyle w:val="54"/>
              <w:jc w:val="center"/>
              <w:rPr>
                <w:rFonts w:hint="eastAsia" w:ascii="仿宋" w:hAnsi="仿宋" w:eastAsia="仿宋" w:cs="仿宋"/>
                <w:sz w:val="24"/>
                <w:szCs w:val="24"/>
              </w:rPr>
            </w:pPr>
          </w:p>
          <w:p>
            <w:pPr>
              <w:pStyle w:val="54"/>
              <w:jc w:val="center"/>
              <w:rPr>
                <w:rFonts w:hint="eastAsia" w:ascii="仿宋" w:hAnsi="仿宋" w:eastAsia="仿宋" w:cs="仿宋"/>
                <w:sz w:val="24"/>
                <w:szCs w:val="24"/>
              </w:rPr>
            </w:pPr>
          </w:p>
          <w:p>
            <w:pPr>
              <w:pStyle w:val="54"/>
              <w:jc w:val="center"/>
              <w:rPr>
                <w:rFonts w:hint="eastAsia" w:ascii="仿宋" w:hAnsi="仿宋" w:eastAsia="仿宋" w:cs="仿宋"/>
                <w:sz w:val="24"/>
                <w:szCs w:val="24"/>
              </w:rPr>
            </w:pPr>
          </w:p>
          <w:p>
            <w:pPr>
              <w:pStyle w:val="54"/>
              <w:jc w:val="center"/>
              <w:rPr>
                <w:rFonts w:hint="eastAsia" w:ascii="仿宋" w:hAnsi="仿宋" w:eastAsia="仿宋" w:cs="仿宋"/>
                <w:sz w:val="24"/>
                <w:szCs w:val="24"/>
              </w:rPr>
            </w:pPr>
          </w:p>
          <w:p>
            <w:pPr>
              <w:pStyle w:val="54"/>
              <w:spacing w:before="181"/>
              <w:ind w:left="216" w:right="8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088" w:type="dxa"/>
            <w:noWrap w:val="0"/>
            <w:vAlign w:val="center"/>
          </w:tcPr>
          <w:p>
            <w:pPr>
              <w:pStyle w:val="54"/>
              <w:spacing w:before="158"/>
              <w:jc w:val="center"/>
              <w:rPr>
                <w:rFonts w:hint="eastAsia" w:ascii="仿宋" w:hAnsi="仿宋" w:eastAsia="仿宋" w:cs="仿宋"/>
                <w:kern w:val="2"/>
                <w:sz w:val="24"/>
                <w:szCs w:val="24"/>
                <w:lang w:val="zh-CN" w:eastAsia="zh-CN" w:bidi="zh-CN"/>
              </w:rPr>
            </w:pPr>
            <w:r>
              <w:rPr>
                <w:rFonts w:hint="eastAsia" w:ascii="仿宋" w:hAnsi="仿宋" w:eastAsia="仿宋" w:cs="仿宋"/>
                <w:sz w:val="24"/>
                <w:szCs w:val="24"/>
              </w:rPr>
              <w:t>售后服务方案</w:t>
            </w:r>
          </w:p>
        </w:tc>
        <w:tc>
          <w:tcPr>
            <w:tcW w:w="1008" w:type="dxa"/>
            <w:noWrap w:val="0"/>
            <w:vAlign w:val="center"/>
          </w:tcPr>
          <w:p>
            <w:pPr>
              <w:pStyle w:val="54"/>
              <w:ind w:right="1" w:rightChars="0"/>
              <w:jc w:val="center"/>
              <w:rPr>
                <w:rFonts w:hint="eastAsia" w:ascii="仿宋" w:hAnsi="仿宋" w:eastAsia="仿宋" w:cs="仿宋"/>
                <w:kern w:val="2"/>
                <w:sz w:val="24"/>
                <w:szCs w:val="24"/>
                <w:lang w:val="en-US" w:eastAsia="zh-CN" w:bidi="zh-CN"/>
              </w:rPr>
            </w:pPr>
            <w:r>
              <w:rPr>
                <w:rFonts w:hint="eastAsia" w:ascii="仿宋" w:hAnsi="仿宋" w:eastAsia="仿宋" w:cs="仿宋"/>
                <w:sz w:val="24"/>
                <w:szCs w:val="24"/>
                <w:lang w:val="en-US" w:eastAsia="zh-CN"/>
              </w:rPr>
              <w:t>4分</w:t>
            </w:r>
          </w:p>
        </w:tc>
        <w:tc>
          <w:tcPr>
            <w:tcW w:w="6516" w:type="dxa"/>
            <w:noWrap w:val="0"/>
            <w:vAlign w:val="center"/>
          </w:tcPr>
          <w:p>
            <w:pPr>
              <w:pStyle w:val="54"/>
              <w:numPr>
                <w:ilvl w:val="0"/>
                <w:numId w:val="0"/>
              </w:numPr>
              <w:tabs>
                <w:tab w:val="left" w:pos="711"/>
              </w:tabs>
              <w:spacing w:before="0" w:after="0" w:line="364" w:lineRule="auto"/>
              <w:ind w:right="94" w:rightChars="0"/>
              <w:jc w:val="left"/>
              <w:rPr>
                <w:rFonts w:hint="eastAsia" w:ascii="仿宋" w:hAnsi="仿宋" w:eastAsia="仿宋" w:cs="仿宋"/>
                <w:sz w:val="24"/>
                <w:szCs w:val="24"/>
              </w:rPr>
            </w:pPr>
            <w:r>
              <w:rPr>
                <w:rFonts w:hint="eastAsia" w:ascii="仿宋" w:hAnsi="仿宋" w:eastAsia="仿宋" w:cs="仿宋"/>
                <w:sz w:val="24"/>
                <w:szCs w:val="24"/>
              </w:rPr>
              <w:t>根据</w:t>
            </w:r>
            <w:r>
              <w:rPr>
                <w:rFonts w:hint="eastAsia" w:ascii="仿宋" w:hAnsi="仿宋" w:eastAsia="仿宋" w:cs="仿宋"/>
                <w:sz w:val="24"/>
                <w:szCs w:val="24"/>
                <w:lang w:eastAsia="zh-CN"/>
              </w:rPr>
              <w:t>投标人</w:t>
            </w:r>
            <w:r>
              <w:rPr>
                <w:rFonts w:hint="eastAsia" w:ascii="仿宋" w:hAnsi="仿宋" w:eastAsia="仿宋" w:cs="仿宋"/>
                <w:sz w:val="24"/>
                <w:szCs w:val="24"/>
              </w:rPr>
              <w:t>提供的售后服务方案（包含但不限于质保期、质保范围、响应时间、人员配备等）进行综合</w:t>
            </w:r>
            <w:r>
              <w:rPr>
                <w:rFonts w:hint="eastAsia" w:ascii="仿宋" w:hAnsi="仿宋" w:eastAsia="仿宋" w:cs="仿宋"/>
                <w:sz w:val="24"/>
                <w:szCs w:val="24"/>
                <w:lang w:eastAsia="zh-CN"/>
              </w:rPr>
              <w:t>比较</w:t>
            </w:r>
            <w:r>
              <w:rPr>
                <w:rFonts w:hint="eastAsia" w:ascii="仿宋" w:hAnsi="仿宋" w:eastAsia="仿宋" w:cs="仿宋"/>
                <w:sz w:val="24"/>
                <w:szCs w:val="24"/>
              </w:rPr>
              <w:t>评审：</w:t>
            </w:r>
          </w:p>
          <w:p>
            <w:pPr>
              <w:pStyle w:val="54"/>
              <w:numPr>
                <w:ilvl w:val="0"/>
                <w:numId w:val="0"/>
              </w:numPr>
              <w:tabs>
                <w:tab w:val="left" w:pos="711"/>
              </w:tabs>
              <w:spacing w:before="0" w:after="0" w:line="364" w:lineRule="auto"/>
              <w:ind w:left="0" w:leftChars="0" w:right="94" w:rightChars="0" w:firstLine="0" w:firstLineChars="0"/>
              <w:jc w:val="left"/>
              <w:rPr>
                <w:rFonts w:hint="eastAsia" w:ascii="仿宋" w:hAnsi="仿宋" w:eastAsia="仿宋" w:cs="仿宋"/>
                <w:kern w:val="2"/>
                <w:sz w:val="24"/>
                <w:szCs w:val="24"/>
                <w:lang w:val="en-US" w:eastAsia="zh-CN" w:bidi="zh-CN"/>
              </w:rPr>
            </w:pPr>
            <w:r>
              <w:rPr>
                <w:rFonts w:hint="eastAsia" w:ascii="仿宋" w:hAnsi="仿宋" w:eastAsia="仿宋" w:cs="仿宋"/>
                <w:sz w:val="24"/>
                <w:szCs w:val="24"/>
                <w:lang w:eastAsia="zh-CN"/>
              </w:rPr>
              <w:t>较好的得</w:t>
            </w:r>
            <w:r>
              <w:rPr>
                <w:rFonts w:hint="eastAsia" w:ascii="仿宋" w:hAnsi="仿宋" w:eastAsia="仿宋" w:cs="仿宋"/>
                <w:sz w:val="24"/>
                <w:szCs w:val="24"/>
                <w:lang w:val="en-US" w:eastAsia="zh-CN"/>
              </w:rPr>
              <w:t>4-3分，一般的得2分，较差的得1分，</w:t>
            </w:r>
            <w:r>
              <w:rPr>
                <w:rFonts w:hint="eastAsia" w:ascii="仿宋" w:hAnsi="仿宋" w:eastAsia="仿宋" w:cs="仿宋"/>
                <w:sz w:val="24"/>
                <w:szCs w:val="24"/>
              </w:rPr>
              <w:t>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885" w:type="dxa"/>
            <w:noWrap w:val="0"/>
            <w:vAlign w:val="center"/>
          </w:tcPr>
          <w:p>
            <w:pPr>
              <w:pStyle w:val="54"/>
              <w:ind w:right="229"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088" w:type="dxa"/>
            <w:noWrap w:val="0"/>
            <w:vAlign w:val="center"/>
          </w:tcPr>
          <w:p>
            <w:pPr>
              <w:pStyle w:val="54"/>
              <w:jc w:val="center"/>
              <w:rPr>
                <w:rFonts w:hint="eastAsia" w:ascii="仿宋" w:hAnsi="仿宋" w:eastAsia="仿宋" w:cs="仿宋"/>
                <w:sz w:val="24"/>
                <w:szCs w:val="24"/>
              </w:rPr>
            </w:pPr>
          </w:p>
          <w:p>
            <w:pPr>
              <w:pStyle w:val="54"/>
              <w:jc w:val="center"/>
              <w:rPr>
                <w:rFonts w:hint="eastAsia" w:ascii="仿宋" w:hAnsi="仿宋" w:eastAsia="仿宋" w:cs="仿宋"/>
                <w:sz w:val="24"/>
                <w:szCs w:val="24"/>
              </w:rPr>
            </w:pPr>
          </w:p>
          <w:p>
            <w:pPr>
              <w:pStyle w:val="54"/>
              <w:spacing w:before="10"/>
              <w:jc w:val="center"/>
              <w:rPr>
                <w:rFonts w:hint="eastAsia" w:ascii="仿宋" w:hAnsi="仿宋" w:eastAsia="仿宋" w:cs="仿宋"/>
                <w:sz w:val="24"/>
                <w:szCs w:val="24"/>
              </w:rPr>
            </w:pPr>
          </w:p>
          <w:p>
            <w:pPr>
              <w:pStyle w:val="54"/>
              <w:spacing w:line="362" w:lineRule="auto"/>
              <w:ind w:right="142" w:rightChars="0"/>
              <w:jc w:val="center"/>
              <w:rPr>
                <w:rFonts w:hint="eastAsia" w:ascii="仿宋" w:hAnsi="仿宋" w:eastAsia="仿宋" w:cs="仿宋"/>
                <w:kern w:val="2"/>
                <w:sz w:val="24"/>
                <w:szCs w:val="24"/>
                <w:lang w:val="zh-CN" w:eastAsia="zh-CN" w:bidi="zh-CN"/>
              </w:rPr>
            </w:pPr>
            <w:r>
              <w:rPr>
                <w:rFonts w:hint="eastAsia" w:ascii="仿宋" w:hAnsi="仿宋" w:eastAsia="仿宋" w:cs="仿宋"/>
                <w:sz w:val="24"/>
                <w:szCs w:val="24"/>
              </w:rPr>
              <w:t>企业实力与荣誉</w:t>
            </w:r>
          </w:p>
        </w:tc>
        <w:tc>
          <w:tcPr>
            <w:tcW w:w="1008" w:type="dxa"/>
            <w:noWrap w:val="0"/>
            <w:vAlign w:val="center"/>
          </w:tcPr>
          <w:p>
            <w:pPr>
              <w:pStyle w:val="54"/>
              <w:jc w:val="center"/>
              <w:rPr>
                <w:rFonts w:hint="eastAsia" w:ascii="仿宋" w:hAnsi="仿宋" w:eastAsia="仿宋" w:cs="仿宋"/>
                <w:sz w:val="24"/>
                <w:szCs w:val="24"/>
              </w:rPr>
            </w:pPr>
          </w:p>
          <w:p>
            <w:pPr>
              <w:pStyle w:val="54"/>
              <w:jc w:val="center"/>
              <w:rPr>
                <w:rFonts w:hint="eastAsia" w:ascii="仿宋" w:hAnsi="仿宋" w:eastAsia="仿宋" w:cs="仿宋"/>
                <w:sz w:val="24"/>
                <w:szCs w:val="24"/>
              </w:rPr>
            </w:pPr>
          </w:p>
          <w:p>
            <w:pPr>
              <w:pStyle w:val="54"/>
              <w:jc w:val="center"/>
              <w:rPr>
                <w:rFonts w:hint="eastAsia" w:ascii="仿宋" w:hAnsi="仿宋" w:eastAsia="仿宋" w:cs="仿宋"/>
                <w:sz w:val="24"/>
                <w:szCs w:val="24"/>
              </w:rPr>
            </w:pPr>
          </w:p>
          <w:p>
            <w:pPr>
              <w:pStyle w:val="54"/>
              <w:jc w:val="center"/>
              <w:rPr>
                <w:rFonts w:hint="eastAsia" w:ascii="仿宋" w:hAnsi="仿宋" w:eastAsia="仿宋" w:cs="仿宋"/>
                <w:sz w:val="24"/>
                <w:szCs w:val="24"/>
              </w:rPr>
            </w:pPr>
          </w:p>
          <w:p>
            <w:pPr>
              <w:pStyle w:val="54"/>
              <w:spacing w:before="181"/>
              <w:ind w:right="1" w:rightChars="0"/>
              <w:jc w:val="center"/>
              <w:rPr>
                <w:rFonts w:hint="eastAsia" w:ascii="仿宋" w:hAnsi="仿宋" w:eastAsia="仿宋" w:cs="仿宋"/>
                <w:kern w:val="2"/>
                <w:sz w:val="24"/>
                <w:szCs w:val="24"/>
                <w:lang w:val="zh-CN" w:eastAsia="zh-CN" w:bidi="zh-CN"/>
              </w:rPr>
            </w:pPr>
            <w:r>
              <w:rPr>
                <w:rFonts w:hint="eastAsia" w:ascii="仿宋" w:hAnsi="仿宋" w:eastAsia="仿宋" w:cs="仿宋"/>
                <w:sz w:val="24"/>
                <w:szCs w:val="24"/>
                <w:lang w:val="en-US" w:eastAsia="zh-CN"/>
              </w:rPr>
              <w:t xml:space="preserve">15 </w:t>
            </w:r>
            <w:r>
              <w:rPr>
                <w:rFonts w:hint="eastAsia" w:ascii="仿宋" w:hAnsi="仿宋" w:eastAsia="仿宋" w:cs="仿宋"/>
                <w:sz w:val="24"/>
                <w:szCs w:val="24"/>
              </w:rPr>
              <w:t>分</w:t>
            </w:r>
          </w:p>
        </w:tc>
        <w:tc>
          <w:tcPr>
            <w:tcW w:w="651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投标人能够提供在喀左县域内（自有或租赁）≥800㎡标准仓储库房的得5分，大于等于100㎡小于800㎡标准仓储库房的得3分；小于100㎡标准仓储库房的不得分；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注：需提供相关证明材料复印件加盖投标人公章，不提供者，不得分。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投标人中标后，采购人对仓储库房进行现场勘察，对不符合条件的，视为虚假投标，中标无效，有权不予签订政府采购合同。</w:t>
            </w:r>
          </w:p>
          <w:p>
            <w:pPr>
              <w:pStyle w:val="54"/>
              <w:keepNext w:val="0"/>
              <w:keepLines w:val="0"/>
              <w:pageBreakBefore w:val="0"/>
              <w:widowControl w:val="0"/>
              <w:kinsoku/>
              <w:wordWrap/>
              <w:overflowPunct/>
              <w:topLinePunct w:val="0"/>
              <w:autoSpaceDE/>
              <w:autoSpaceDN/>
              <w:bidi w:val="0"/>
              <w:adjustRightInd/>
              <w:snapToGrid/>
              <w:spacing w:before="1" w:line="360" w:lineRule="auto"/>
              <w:ind w:left="216" w:leftChars="103" w:firstLine="0" w:firstLineChars="0"/>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投标人具有配送车辆5台的得3分，每增加1台加1分，最多得5分。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注：自有车辆提供行驶证复印件；租赁车辆提供车辆租赁协议复印件，不提供者，不得分。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b w:val="0"/>
                <w:bCs/>
                <w:color w:val="000000"/>
                <w:sz w:val="24"/>
                <w:szCs w:val="24"/>
                <w:lang w:val="en-US" w:eastAsia="zh-CN"/>
              </w:rPr>
              <w:t>投标人的</w:t>
            </w:r>
            <w:r>
              <w:rPr>
                <w:rFonts w:hint="eastAsia" w:ascii="仿宋" w:hAnsi="仿宋" w:cs="仿宋"/>
                <w:b w:val="0"/>
                <w:bCs/>
                <w:color w:val="000000"/>
                <w:sz w:val="24"/>
                <w:szCs w:val="24"/>
                <w:lang w:val="en-US" w:eastAsia="zh-CN"/>
              </w:rPr>
              <w:t>米、油</w:t>
            </w:r>
            <w:r>
              <w:rPr>
                <w:rFonts w:hint="eastAsia" w:ascii="仿宋" w:hAnsi="仿宋" w:eastAsia="仿宋" w:cs="仿宋"/>
                <w:b w:val="0"/>
                <w:bCs/>
                <w:color w:val="000000"/>
                <w:sz w:val="24"/>
                <w:szCs w:val="24"/>
                <w:lang w:val="en-US" w:eastAsia="zh-CN"/>
              </w:rPr>
              <w:t>配送人员具有有效期内的健康证每提供一人得1分最高得5分。</w:t>
            </w:r>
            <w:r>
              <w:rPr>
                <w:rFonts w:hint="eastAsia" w:ascii="宋体" w:hAnsi="宋体" w:eastAsia="宋体" w:cs="宋体"/>
                <w:b w:val="0"/>
                <w:bCs/>
                <w:color w:val="000000"/>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885" w:type="dxa"/>
            <w:noWrap w:val="0"/>
            <w:vAlign w:val="center"/>
          </w:tcPr>
          <w:p>
            <w:pPr>
              <w:pStyle w:val="5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088" w:type="dxa"/>
            <w:noWrap w:val="0"/>
            <w:vAlign w:val="center"/>
          </w:tcPr>
          <w:p>
            <w:pPr>
              <w:pStyle w:val="54"/>
              <w:spacing w:before="2"/>
              <w:jc w:val="center"/>
              <w:rPr>
                <w:rFonts w:hint="eastAsia" w:ascii="仿宋" w:hAnsi="仿宋" w:eastAsia="仿宋" w:cs="仿宋"/>
                <w:sz w:val="24"/>
                <w:szCs w:val="24"/>
              </w:rPr>
            </w:pPr>
          </w:p>
          <w:p>
            <w:pPr>
              <w:pStyle w:val="54"/>
              <w:jc w:val="center"/>
              <w:rPr>
                <w:rFonts w:hint="eastAsia" w:ascii="仿宋" w:hAnsi="仿宋" w:eastAsia="仿宋" w:cs="仿宋"/>
                <w:kern w:val="2"/>
                <w:sz w:val="24"/>
                <w:szCs w:val="24"/>
                <w:lang w:val="zh-CN" w:eastAsia="zh-CN" w:bidi="zh-CN"/>
              </w:rPr>
            </w:pPr>
            <w:r>
              <w:rPr>
                <w:rFonts w:hint="eastAsia" w:ascii="仿宋" w:hAnsi="仿宋" w:eastAsia="仿宋" w:cs="仿宋"/>
                <w:sz w:val="24"/>
                <w:szCs w:val="24"/>
              </w:rPr>
              <w:t>业绩</w:t>
            </w:r>
          </w:p>
        </w:tc>
        <w:tc>
          <w:tcPr>
            <w:tcW w:w="1008" w:type="dxa"/>
            <w:noWrap w:val="0"/>
            <w:vAlign w:val="center"/>
          </w:tcPr>
          <w:p>
            <w:pPr>
              <w:pStyle w:val="54"/>
              <w:spacing w:before="2"/>
              <w:jc w:val="center"/>
              <w:rPr>
                <w:rFonts w:hint="eastAsia" w:ascii="仿宋" w:hAnsi="仿宋" w:eastAsia="仿宋" w:cs="仿宋"/>
                <w:sz w:val="24"/>
                <w:szCs w:val="24"/>
              </w:rPr>
            </w:pPr>
          </w:p>
          <w:p>
            <w:pPr>
              <w:pStyle w:val="54"/>
              <w:ind w:left="147" w:leftChars="0" w:right="10" w:rightChars="0"/>
              <w:jc w:val="center"/>
              <w:rPr>
                <w:rFonts w:hint="eastAsia" w:ascii="仿宋" w:hAnsi="仿宋" w:eastAsia="仿宋" w:cs="仿宋"/>
                <w:kern w:val="2"/>
                <w:sz w:val="24"/>
                <w:szCs w:val="24"/>
                <w:lang w:val="zh-CN" w:eastAsia="zh-CN" w:bidi="zh-CN"/>
              </w:rPr>
            </w:pPr>
            <w:r>
              <w:rPr>
                <w:rFonts w:hint="eastAsia" w:ascii="仿宋" w:hAnsi="仿宋" w:eastAsia="仿宋" w:cs="仿宋"/>
                <w:sz w:val="24"/>
                <w:szCs w:val="24"/>
                <w:lang w:val="en-US" w:eastAsia="zh-CN"/>
              </w:rPr>
              <w:t>3</w:t>
            </w:r>
            <w:r>
              <w:rPr>
                <w:rFonts w:hint="eastAsia" w:ascii="仿宋" w:hAnsi="仿宋" w:eastAsia="仿宋" w:cs="仿宋"/>
                <w:sz w:val="24"/>
                <w:szCs w:val="24"/>
              </w:rPr>
              <w:t>分</w:t>
            </w:r>
          </w:p>
        </w:tc>
        <w:tc>
          <w:tcPr>
            <w:tcW w:w="6516" w:type="dxa"/>
            <w:noWrap w:val="0"/>
            <w:vAlign w:val="top"/>
          </w:tcPr>
          <w:p>
            <w:pPr>
              <w:pStyle w:val="54"/>
              <w:keepNext w:val="0"/>
              <w:keepLines w:val="0"/>
              <w:pageBreakBefore w:val="0"/>
              <w:widowControl w:val="0"/>
              <w:kinsoku/>
              <w:wordWrap/>
              <w:overflowPunct/>
              <w:topLinePunct w:val="0"/>
              <w:autoSpaceDE/>
              <w:autoSpaceDN/>
              <w:bidi w:val="0"/>
              <w:adjustRightInd/>
              <w:snapToGrid/>
              <w:spacing w:before="4" w:line="360" w:lineRule="auto"/>
              <w:ind w:right="-29" w:rightChars="0"/>
              <w:textAlignment w:val="auto"/>
              <w:rPr>
                <w:rFonts w:hint="eastAsia" w:ascii="仿宋" w:hAnsi="仿宋" w:eastAsia="仿宋" w:cs="仿宋"/>
                <w:kern w:val="2"/>
                <w:sz w:val="24"/>
                <w:szCs w:val="24"/>
                <w:lang w:val="zh-CN" w:eastAsia="zh-CN" w:bidi="zh-CN"/>
              </w:rPr>
            </w:pPr>
            <w:r>
              <w:rPr>
                <w:rFonts w:hint="eastAsia" w:ascii="仿宋" w:hAnsi="仿宋" w:eastAsia="仿宋" w:cs="仿宋"/>
                <w:kern w:val="2"/>
                <w:sz w:val="24"/>
                <w:szCs w:val="24"/>
                <w:lang w:val="zh-CN" w:eastAsia="zh-CN" w:bidi="zh-CN"/>
              </w:rPr>
              <w:t>提供投标截止日前3年（提供的业绩为2019年5月至今）的投标人类似业绩证明材料。每提供1项得</w:t>
            </w:r>
            <w:r>
              <w:rPr>
                <w:rFonts w:hint="eastAsia" w:ascii="仿宋" w:hAnsi="仿宋" w:eastAsia="仿宋" w:cs="仿宋"/>
                <w:kern w:val="2"/>
                <w:sz w:val="24"/>
                <w:szCs w:val="24"/>
                <w:lang w:val="en-US" w:eastAsia="zh-CN" w:bidi="zh-CN"/>
              </w:rPr>
              <w:t>1</w:t>
            </w:r>
            <w:r>
              <w:rPr>
                <w:rFonts w:hint="eastAsia" w:ascii="仿宋" w:hAnsi="仿宋" w:eastAsia="仿宋" w:cs="仿宋"/>
                <w:kern w:val="2"/>
                <w:sz w:val="24"/>
                <w:szCs w:val="24"/>
                <w:lang w:val="zh-CN" w:eastAsia="zh-CN" w:bidi="zh-CN"/>
              </w:rPr>
              <w:t>分,满分</w:t>
            </w:r>
            <w:r>
              <w:rPr>
                <w:rFonts w:hint="eastAsia" w:ascii="仿宋" w:hAnsi="仿宋" w:eastAsia="仿宋" w:cs="仿宋"/>
                <w:kern w:val="2"/>
                <w:sz w:val="24"/>
                <w:szCs w:val="24"/>
                <w:lang w:val="en-US" w:eastAsia="zh-CN" w:bidi="zh-CN"/>
              </w:rPr>
              <w:t>3</w:t>
            </w:r>
            <w:r>
              <w:rPr>
                <w:rFonts w:hint="eastAsia" w:ascii="仿宋" w:hAnsi="仿宋" w:eastAsia="仿宋" w:cs="仿宋"/>
                <w:kern w:val="2"/>
                <w:sz w:val="24"/>
                <w:szCs w:val="24"/>
                <w:lang w:val="zh-CN" w:eastAsia="zh-CN" w:bidi="zh-CN"/>
              </w:rPr>
              <w:t>分；不提供不得分（需提供包含合同首页、标的及金额所在页、供货合同签字盖章页的扫描（或复印）件）。</w:t>
            </w:r>
          </w:p>
        </w:tc>
      </w:tr>
    </w:tbl>
    <w:p>
      <w:pPr>
        <w:widowControl/>
        <w:shd w:val="clear" w:color="auto" w:fill="FFFFFF"/>
        <w:spacing w:line="240" w:lineRule="exact"/>
        <w:jc w:val="left"/>
        <w:rPr>
          <w:rFonts w:ascii="仿宋_GB2312" w:hAnsi="仿宋_GB2312" w:eastAsia="仿宋_GB2312" w:cs="仿宋_GB2312"/>
          <w:kern w:val="0"/>
          <w:szCs w:val="21"/>
        </w:rPr>
      </w:pPr>
    </w:p>
    <w:p>
      <w:pPr>
        <w:widowControl/>
        <w:shd w:val="clear" w:color="auto" w:fill="FFFFFF"/>
        <w:spacing w:line="240" w:lineRule="exact"/>
        <w:jc w:val="left"/>
        <w:rPr>
          <w:rFonts w:hint="eastAsia" w:ascii="仿宋_GB2312" w:hAnsi="仿宋_GB2312" w:eastAsia="仿宋_GB2312" w:cs="仿宋_GB2312"/>
          <w:kern w:val="0"/>
          <w:szCs w:val="21"/>
        </w:rPr>
      </w:pPr>
    </w:p>
    <w:p>
      <w:pPr>
        <w:widowControl/>
        <w:shd w:val="clear" w:color="auto" w:fill="FFFFFF"/>
        <w:spacing w:line="240" w:lineRule="exact"/>
        <w:jc w:val="left"/>
        <w:rPr>
          <w:rFonts w:hint="eastAsia" w:ascii="仿宋_GB2312" w:hAnsi="仿宋_GB2312" w:eastAsia="仿宋_GB2312" w:cs="仿宋_GB2312"/>
          <w:kern w:val="0"/>
          <w:szCs w:val="21"/>
        </w:rPr>
      </w:pPr>
    </w:p>
    <w:p>
      <w:pPr>
        <w:widowControl/>
        <w:shd w:val="clear" w:color="auto" w:fill="FFFFFF"/>
        <w:spacing w:line="240" w:lineRule="exact"/>
        <w:jc w:val="left"/>
        <w:rPr>
          <w:rFonts w:hint="eastAsia" w:ascii="仿宋_GB2312" w:hAnsi="仿宋_GB2312" w:eastAsia="仿宋_GB2312" w:cs="仿宋_GB2312"/>
          <w:kern w:val="0"/>
          <w:szCs w:val="21"/>
        </w:rPr>
      </w:pPr>
    </w:p>
    <w:p>
      <w:pPr>
        <w:wordWrap w:val="0"/>
        <w:adjustRightInd w:val="0"/>
        <w:snapToGrid w:val="0"/>
        <w:spacing w:line="360" w:lineRule="auto"/>
        <w:jc w:val="right"/>
        <w:rPr>
          <w:rFonts w:ascii="仿宋_GB2312" w:hAnsi="仿宋_GB2312" w:eastAsia="仿宋_GB2312" w:cs="仿宋_GB2312"/>
          <w:szCs w:val="21"/>
        </w:rPr>
      </w:pPr>
      <w:r>
        <w:rPr>
          <w:rFonts w:hint="eastAsia" w:ascii="仿宋_GB2312" w:hAnsi="仿宋_GB2312" w:eastAsia="仿宋_GB2312" w:cs="仿宋_GB2312"/>
          <w:szCs w:val="21"/>
        </w:rPr>
        <w:br w:type="page"/>
      </w:r>
    </w:p>
    <w:p>
      <w:pPr>
        <w:rPr>
          <w:rFonts w:ascii="仿宋_GB2312" w:hAnsi="仿宋_GB2312" w:eastAsia="仿宋_GB2312" w:cs="仿宋_GB2312"/>
        </w:rPr>
      </w:pPr>
      <w:bookmarkStart w:id="142" w:name="_Toc25922_WPSOffice_Level1"/>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pStyle w:val="3"/>
        <w:adjustRightInd w:val="0"/>
        <w:snapToGrid w:val="0"/>
        <w:spacing w:before="319" w:beforeLines="100" w:after="319" w:afterLines="100"/>
        <w:rPr>
          <w:rFonts w:ascii="仿宋_GB2312" w:hAnsi="仿宋_GB2312" w:eastAsia="仿宋_GB2312" w:cs="仿宋_GB2312"/>
        </w:rPr>
      </w:pPr>
      <w:bookmarkStart w:id="143" w:name="_Toc19588"/>
      <w:r>
        <w:rPr>
          <w:rFonts w:hint="eastAsia" w:ascii="仿宋_GB2312" w:hAnsi="仿宋_GB2312" w:eastAsia="仿宋_GB2312" w:cs="仿宋_GB2312"/>
        </w:rPr>
        <w:t>第五章 政府采购合同条款</w:t>
      </w:r>
      <w:bookmarkEnd w:id="142"/>
      <w:r>
        <w:rPr>
          <w:rFonts w:hint="eastAsia" w:ascii="仿宋_GB2312" w:hAnsi="仿宋_GB2312" w:eastAsia="仿宋_GB2312" w:cs="仿宋_GB2312"/>
        </w:rPr>
        <w:t>及格式</w:t>
      </w:r>
      <w:bookmarkEnd w:id="143"/>
    </w:p>
    <w:p>
      <w:pPr>
        <w:rPr>
          <w:rFonts w:ascii="仿宋_GB2312" w:hAnsi="仿宋_GB2312" w:eastAsia="仿宋_GB2312" w:cs="仿宋_GB2312"/>
        </w:rPr>
      </w:pPr>
    </w:p>
    <w:p>
      <w:pPr>
        <w:rPr>
          <w:rFonts w:ascii="仿宋_GB2312" w:hAnsi="仿宋_GB2312" w:eastAsia="仿宋_GB2312" w:cs="仿宋_GB2312"/>
        </w:rPr>
      </w:pPr>
    </w:p>
    <w:p>
      <w:pPr>
        <w:pStyle w:val="4"/>
        <w:adjustRightInd w:val="0"/>
        <w:snapToGrid w:val="0"/>
        <w:spacing w:before="0" w:after="0" w:line="240" w:lineRule="auto"/>
        <w:jc w:val="left"/>
        <w:rPr>
          <w:rFonts w:ascii="仿宋_GB2312" w:hAnsi="仿宋_GB2312" w:eastAsia="仿宋_GB2312" w:cs="仿宋_GB2312"/>
          <w:szCs w:val="28"/>
        </w:rPr>
      </w:pPr>
      <w:bookmarkStart w:id="144" w:name="_Toc23704_WPSOffice_Level1"/>
      <w:r>
        <w:rPr>
          <w:rFonts w:hint="eastAsia" w:ascii="仿宋_GB2312" w:hAnsi="仿宋_GB2312" w:eastAsia="仿宋_GB2312" w:cs="仿宋_GB2312"/>
          <w:szCs w:val="28"/>
        </w:rPr>
        <w:br w:type="page"/>
      </w:r>
      <w:r>
        <w:rPr>
          <w:rFonts w:hint="eastAsia" w:ascii="仿宋_GB2312" w:hAnsi="仿宋_GB2312" w:eastAsia="仿宋_GB2312" w:cs="仿宋_GB2312"/>
          <w:szCs w:val="28"/>
        </w:rPr>
        <w:t>合同条款</w:t>
      </w:r>
    </w:p>
    <w:p>
      <w:pPr>
        <w:spacing w:before="319" w:beforeLines="100" w:after="319" w:afterLines="100" w:line="480" w:lineRule="exact"/>
        <w:jc w:val="center"/>
        <w:rPr>
          <w:rFonts w:ascii="仿宋_GB2312" w:hAnsi="仿宋_GB2312" w:eastAsia="仿宋_GB2312" w:cs="仿宋_GB2312"/>
          <w:b/>
          <w:sz w:val="44"/>
          <w:szCs w:val="44"/>
        </w:rPr>
      </w:pPr>
      <w:bookmarkStart w:id="145" w:name="_Toc30224_WPSOffice_Level1"/>
      <w:r>
        <w:rPr>
          <w:rFonts w:hint="eastAsia" w:ascii="仿宋_GB2312" w:hAnsi="仿宋_GB2312" w:eastAsia="仿宋_GB2312" w:cs="仿宋_GB2312"/>
          <w:b/>
          <w:sz w:val="44"/>
          <w:szCs w:val="44"/>
        </w:rPr>
        <w:t>政府采购合同条款</w:t>
      </w:r>
      <w:bookmarkEnd w:id="145"/>
    </w:p>
    <w:p>
      <w:pPr>
        <w:wordWrap w:val="0"/>
        <w:adjustRightInd w:val="0"/>
        <w:snapToGrid w:val="0"/>
        <w:spacing w:line="360" w:lineRule="auto"/>
        <w:jc w:val="right"/>
        <w:rPr>
          <w:rFonts w:ascii="仿宋_GB2312" w:hAnsi="仿宋_GB2312" w:eastAsia="仿宋_GB2312" w:cs="仿宋_GB2312"/>
          <w:szCs w:val="21"/>
        </w:rPr>
      </w:pPr>
    </w:p>
    <w:p>
      <w:pPr>
        <w:adjustRightInd w:val="0"/>
        <w:snapToGrid w:val="0"/>
        <w:spacing w:line="360" w:lineRule="auto"/>
        <w:ind w:firstLine="411" w:firstLineChars="196"/>
        <w:rPr>
          <w:rFonts w:ascii="仿宋_GB2312" w:hAnsi="宋体" w:eastAsia="仿宋_GB2312"/>
          <w:b/>
          <w:bCs/>
          <w:szCs w:val="21"/>
        </w:rPr>
      </w:pPr>
      <w:bookmarkStart w:id="146" w:name="_Toc398_WPSOffice_Level1"/>
      <w:bookmarkStart w:id="147" w:name="_Toc25596_WPSOffice_Level1"/>
      <w:bookmarkStart w:id="148" w:name="_Toc10117_WPSOffice_Level1"/>
      <w:r>
        <w:rPr>
          <w:rFonts w:hint="eastAsia" w:ascii="仿宋_GB2312" w:hAnsi="宋体" w:eastAsia="仿宋_GB2312"/>
          <w:b/>
          <w:bCs/>
          <w:szCs w:val="21"/>
        </w:rPr>
        <w:t>1.术语定义</w:t>
      </w:r>
      <w:bookmarkEnd w:id="146"/>
      <w:bookmarkEnd w:id="147"/>
      <w:bookmarkEnd w:id="148"/>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本政府采购合同下列术语应解释为：</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1.1“政府采购合同”指供需双方依照政府采购程序、按照招标文件、投标文件确定的事项所达成的协议，包括附件、附录和上述文件所提到的构成政府采购合同的所有文件。</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1.2“政府采购合同价”指根据合同约定供方在正确地完全履行政府采购合同义务后，需方应支付给供方的价格。</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1.3“政府采购合同货物”指政府采购合同货物清单（同投标文件中开标一览表及其附表，下同）中所约定的各种形态和种类的物品，包括原材料、燃料、设备、产品、硬件、软件、安装材料、备件及专用器具、文件资料等内容。</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1.4“服务”指根据政府采购合同约定供方应承担的与供货有关的伴随服务，包括（但不限于）政府采购合同货物的运输、保险、安装、测试、调试、培训、维修、提供技术指导和支持、保修期外的维护以及其它类似的义务。</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1.5“需方”指项目基本内容及要求中所述取得货物和服务的采购人。</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1.6“供方”指项目基本内容及要求中所述提供产品和服务的中标人。</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1.7“检验”指需方或者需方的最终用户收货后，按照本政府采购合同约定的标准对政府采购合同货物进行的检测与查验。</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1.8“验收书”指需方对供方履行政府采购合同情况及结果进行现场检验和评估意见的文件。</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1.9“技术资料”指安装、调试、使用、维修政府采购合同货物所应具备的产品使用说明书和、或使用指南、操作手册、维修指南、服务手册、电路图、产品演示等文件及音像资料。</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1.10“保修期”指自验收书签署之日起，供方以自担费用方式保证政府采购合同货物正常运行的时期。</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1.11“第三人”是指本政府采购合同双方以外的任何中国境内外的自然人、法人或其它经济组织。</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1.12“法律、法规”是指由中国各级政府及有关部门制定的法律、行政法规、地方性法规、规章及其它规范性文件的有关规定。</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1.13“招标文件”指采购人或者采购代理机构发布的招标文件。</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1.14“投标文件”指供方按照采购代理机构招标文件的要求编制和递交，并最终被评标委员会接受的投标文件。</w:t>
      </w:r>
    </w:p>
    <w:p>
      <w:bookmarkStart w:id="149" w:name="_Toc29737_WPSOffice_Level1"/>
      <w:bookmarkStart w:id="150" w:name="_Toc750_WPSOffice_Level1"/>
      <w:bookmarkStart w:id="151" w:name="_Toc22454_WPSOffice_Level1"/>
      <w:r>
        <w:rPr>
          <w:rFonts w:hint="eastAsia"/>
        </w:rPr>
        <w:t>2.技术指标</w:t>
      </w:r>
      <w:bookmarkEnd w:id="149"/>
      <w:bookmarkEnd w:id="150"/>
      <w:bookmarkEnd w:id="151"/>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2.1交付产品的技术指标应与招标文件规定的技术指标要求及投标文件中的“技术规格偏离表及商务条款偏离表”的承诺内容相一致。</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2.2 除技术指标另有规定外，计量单位应该使用公制。</w:t>
      </w:r>
    </w:p>
    <w:p>
      <w:pPr>
        <w:adjustRightInd w:val="0"/>
        <w:snapToGrid w:val="0"/>
        <w:spacing w:line="360" w:lineRule="auto"/>
        <w:ind w:firstLine="411" w:firstLineChars="196"/>
        <w:rPr>
          <w:rFonts w:ascii="仿宋_GB2312" w:hAnsi="宋体" w:eastAsia="仿宋_GB2312"/>
          <w:b/>
          <w:szCs w:val="21"/>
        </w:rPr>
      </w:pPr>
      <w:bookmarkStart w:id="152" w:name="_Toc17648_WPSOffice_Level1"/>
      <w:bookmarkStart w:id="153" w:name="_Toc1538_WPSOffice_Level1"/>
      <w:bookmarkStart w:id="154" w:name="_Toc19640_WPSOffice_Level1"/>
      <w:r>
        <w:rPr>
          <w:rFonts w:hint="eastAsia" w:ascii="仿宋_GB2312" w:hAnsi="宋体" w:eastAsia="仿宋_GB2312"/>
          <w:b/>
          <w:szCs w:val="21"/>
        </w:rPr>
        <w:t>3.交货</w:t>
      </w:r>
      <w:bookmarkEnd w:id="152"/>
      <w:bookmarkEnd w:id="153"/>
      <w:bookmarkEnd w:id="154"/>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3.1供方按照合同约定的时间、地点交货</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3.2供方交货的同时应提交下列文件：销售发票，制造厂商出具的质量检验证书、产品合格证以及招标文件、投标文件确定供方应随货物同时提供的其他资料。</w:t>
      </w:r>
    </w:p>
    <w:p>
      <w:pPr>
        <w:adjustRightInd w:val="0"/>
        <w:snapToGrid w:val="0"/>
        <w:spacing w:line="360" w:lineRule="auto"/>
        <w:ind w:firstLine="411" w:firstLineChars="196"/>
        <w:rPr>
          <w:rFonts w:ascii="仿宋_GB2312" w:hAnsi="宋体" w:eastAsia="仿宋_GB2312"/>
          <w:b/>
          <w:szCs w:val="21"/>
        </w:rPr>
      </w:pPr>
      <w:bookmarkStart w:id="155" w:name="_Toc15048_WPSOffice_Level1"/>
      <w:bookmarkStart w:id="156" w:name="_Toc1266_WPSOffice_Level1"/>
      <w:bookmarkStart w:id="157" w:name="_Toc11745_WPSOffice_Level1"/>
      <w:r>
        <w:rPr>
          <w:rFonts w:hint="eastAsia" w:ascii="仿宋_GB2312" w:hAnsi="宋体" w:eastAsia="仿宋_GB2312"/>
          <w:b/>
          <w:szCs w:val="21"/>
        </w:rPr>
        <w:t>4.合同金额</w:t>
      </w:r>
      <w:bookmarkEnd w:id="155"/>
      <w:bookmarkEnd w:id="156"/>
      <w:bookmarkEnd w:id="157"/>
    </w:p>
    <w:p>
      <w:pPr>
        <w:adjustRightInd w:val="0"/>
        <w:snapToGrid w:val="0"/>
        <w:spacing w:line="360" w:lineRule="auto"/>
        <w:ind w:firstLine="411" w:firstLineChars="196"/>
        <w:rPr>
          <w:rFonts w:ascii="仿宋_GB2312" w:hAnsi="宋体" w:eastAsia="仿宋_GB2312"/>
          <w:b/>
          <w:szCs w:val="21"/>
        </w:rPr>
      </w:pPr>
      <w:r>
        <w:rPr>
          <w:rFonts w:hint="eastAsia" w:ascii="仿宋_GB2312" w:hAnsi="宋体" w:eastAsia="仿宋_GB2312"/>
          <w:szCs w:val="21"/>
        </w:rPr>
        <w:t>根据政府采购合同文件要求，确定政府采购合同的总金额。</w:t>
      </w:r>
    </w:p>
    <w:p>
      <w:pPr>
        <w:adjustRightInd w:val="0"/>
        <w:snapToGrid w:val="0"/>
        <w:spacing w:line="360" w:lineRule="auto"/>
        <w:ind w:firstLine="411" w:firstLineChars="196"/>
        <w:rPr>
          <w:rFonts w:ascii="仿宋_GB2312" w:hAnsi="宋体" w:eastAsia="仿宋_GB2312"/>
          <w:b/>
          <w:szCs w:val="21"/>
        </w:rPr>
      </w:pPr>
      <w:bookmarkStart w:id="158" w:name="_Toc11969_WPSOffice_Level1"/>
      <w:bookmarkStart w:id="159" w:name="_Toc22359_WPSOffice_Level1"/>
      <w:bookmarkStart w:id="160" w:name="_Toc941_WPSOffice_Level1"/>
      <w:r>
        <w:rPr>
          <w:rFonts w:hint="eastAsia" w:ascii="仿宋_GB2312" w:hAnsi="宋体" w:eastAsia="仿宋_GB2312"/>
          <w:b/>
          <w:szCs w:val="21"/>
        </w:rPr>
        <w:t>5.付款</w:t>
      </w:r>
      <w:bookmarkEnd w:id="158"/>
      <w:bookmarkEnd w:id="159"/>
      <w:bookmarkEnd w:id="160"/>
    </w:p>
    <w:p>
      <w:pPr>
        <w:adjustRightInd w:val="0"/>
        <w:snapToGrid w:val="0"/>
        <w:spacing w:line="360" w:lineRule="auto"/>
        <w:ind w:firstLine="411" w:firstLineChars="196"/>
        <w:rPr>
          <w:rFonts w:ascii="仿宋_GB2312" w:hAnsi="宋体" w:eastAsia="仿宋_GB2312"/>
          <w:szCs w:val="21"/>
          <w:u w:val="single"/>
        </w:rPr>
      </w:pPr>
      <w:bookmarkStart w:id="161" w:name="_Toc22351_WPSOffice_Level2"/>
      <w:r>
        <w:rPr>
          <w:rFonts w:hint="eastAsia" w:ascii="仿宋_GB2312" w:hAnsi="宋体" w:eastAsia="仿宋_GB2312"/>
          <w:szCs w:val="21"/>
        </w:rPr>
        <w:t>5.1付款方式、条件：需方按照合同约定的方式和条件付款。</w:t>
      </w:r>
      <w:bookmarkEnd w:id="161"/>
    </w:p>
    <w:p>
      <w:pPr>
        <w:adjustRightInd w:val="0"/>
        <w:snapToGrid w:val="0"/>
        <w:spacing w:line="360" w:lineRule="auto"/>
        <w:ind w:firstLine="411" w:firstLineChars="196"/>
        <w:rPr>
          <w:rFonts w:ascii="仿宋_GB2312" w:hAnsi="宋体" w:eastAsia="仿宋_GB2312"/>
          <w:b/>
          <w:szCs w:val="21"/>
        </w:rPr>
      </w:pPr>
      <w:bookmarkStart w:id="162" w:name="_Toc30478_WPSOffice_Level1"/>
      <w:bookmarkStart w:id="163" w:name="_Toc10526_WPSOffice_Level1"/>
      <w:bookmarkStart w:id="164" w:name="_Toc27769_WPSOffice_Level1"/>
      <w:r>
        <w:rPr>
          <w:rFonts w:hint="eastAsia" w:ascii="仿宋_GB2312" w:hAnsi="宋体" w:eastAsia="仿宋_GB2312"/>
          <w:b/>
          <w:szCs w:val="21"/>
        </w:rPr>
        <w:t>6.验收</w:t>
      </w:r>
      <w:bookmarkEnd w:id="162"/>
      <w:bookmarkEnd w:id="163"/>
      <w:bookmarkEnd w:id="164"/>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6.1供方提交的货物由需方或者需方的最终用户负责验收。</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6.2需方或者需方的最终用户应当按照采购合同规定的技术、服务等要求组织对供应商履约的验收，并出具验收书。验收书应当包括每一项技术、服务等要求的履约情况。</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6.3大型或者复杂的项目，应当邀请国家认可的质量检测机构参加验收。</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6.4政府向社会公众提供的公共服务项目，验收时应当邀请服务对象参与并出具意见，验收结果应当向社会公告。</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6.5需方或者需方的最终用户根据政府采购合同的约定接收货物，在接收时对货物的品种、规格、性能、质量、数量、外观以及配件等进行验收。需方对货物的规格技术指标如有异议，应从验收结束之日起10日内按照政府采购合同约定的方式提出。验收通过后，需方向供方收取本政府采购合同第3.2款所列明的销售发票等文件并在验收书上签字和加盖单位公章，作为验收合格、同意付款的依据。</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6.6货物保修期自验收书签署之日起计算。</w:t>
      </w:r>
    </w:p>
    <w:p>
      <w:pPr>
        <w:adjustRightInd w:val="0"/>
        <w:snapToGrid w:val="0"/>
        <w:spacing w:line="360" w:lineRule="auto"/>
        <w:ind w:firstLine="411" w:firstLineChars="196"/>
        <w:rPr>
          <w:rFonts w:ascii="仿宋_GB2312" w:hAnsi="宋体" w:eastAsia="仿宋_GB2312"/>
          <w:b/>
          <w:szCs w:val="21"/>
        </w:rPr>
      </w:pPr>
      <w:bookmarkStart w:id="165" w:name="_Toc31292_WPSOffice_Level1"/>
      <w:bookmarkStart w:id="166" w:name="_Toc21868_WPSOffice_Level1"/>
      <w:bookmarkStart w:id="167" w:name="_Toc23127_WPSOffice_Level1"/>
      <w:r>
        <w:rPr>
          <w:rFonts w:hint="eastAsia" w:ascii="仿宋_GB2312" w:hAnsi="宋体" w:eastAsia="仿宋_GB2312"/>
          <w:b/>
          <w:szCs w:val="21"/>
        </w:rPr>
        <w:t>7.知识产权及有关规定</w:t>
      </w:r>
      <w:bookmarkEnd w:id="165"/>
      <w:bookmarkEnd w:id="166"/>
      <w:bookmarkEnd w:id="167"/>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7.1供方应保证其向需方提供的任何货物或其任何部分或该货物与其他货物一起使用后，不侵犯任何第三方的知识产权、专有技术权、商业秘密权或其他任何权利。 如因上述原因，第三方向需方提起侵权诉讼，供方有义务协助需方。如因此给需方造成损失，供方同意赔付需方遭受的损失。</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7.2一方对另一方提供的技术资料、样件、图纸及其他与质量、技术、经营相关信息（包括但不限于价格、数量）有保密义务。双方应确保其人员及相关协作方承担保密义务。</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7.3供方保证，供方依据本政府采购合同提供的货物及相关的软件和技术资料，供方均已得到有关知识产权的权利人的合法授权，如发生涉及到专利权、著作权、商标权等争议，供方负责交涉、处理，并承担由此引起的对第三人和需方的全部法律及经济责任。</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7.4本合同中涉及保密和知识产权任何条款，在合同期限内及合同终止后持续有效。</w:t>
      </w:r>
    </w:p>
    <w:p>
      <w:pPr>
        <w:adjustRightInd w:val="0"/>
        <w:snapToGrid w:val="0"/>
        <w:spacing w:line="360" w:lineRule="auto"/>
        <w:ind w:firstLine="411" w:firstLineChars="196"/>
        <w:rPr>
          <w:rFonts w:ascii="仿宋_GB2312" w:hAnsi="宋体" w:eastAsia="仿宋_GB2312"/>
          <w:b/>
          <w:szCs w:val="21"/>
        </w:rPr>
      </w:pPr>
      <w:bookmarkStart w:id="168" w:name="_Toc24765_WPSOffice_Level1"/>
      <w:bookmarkStart w:id="169" w:name="_Toc26796_WPSOffice_Level1"/>
      <w:bookmarkStart w:id="170" w:name="_Toc21090_WPSOffice_Level1"/>
      <w:r>
        <w:rPr>
          <w:rFonts w:hint="eastAsia" w:ascii="仿宋_GB2312" w:hAnsi="宋体" w:eastAsia="仿宋_GB2312"/>
          <w:b/>
          <w:szCs w:val="21"/>
        </w:rPr>
        <w:t>8.包装要求</w:t>
      </w:r>
      <w:bookmarkEnd w:id="168"/>
      <w:bookmarkEnd w:id="169"/>
      <w:bookmarkEnd w:id="170"/>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8.1除政府采购合同另有规定外，供方提供的全部货物均应按标准保护措施进行包装。这类包装应适应于远距离运输、防潮、防震、防锈和防野蛮装卸，以确保货物安全无损运抵指定交货地点。如因包装问题导致货物毁损或者品质下降，需方有权要求降价、换货、拒收部分或整批货物，由此造成需方的费用和损失，均由供方承担。</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8.2每一个包装箱内应附一份详细的装箱单和质量合格证书。</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8.3包装费由供方承担，包装物不回收。</w:t>
      </w:r>
    </w:p>
    <w:p>
      <w:pPr>
        <w:adjustRightInd w:val="0"/>
        <w:snapToGrid w:val="0"/>
        <w:spacing w:line="360" w:lineRule="auto"/>
        <w:ind w:firstLine="411" w:firstLineChars="196"/>
        <w:rPr>
          <w:rFonts w:ascii="仿宋_GB2312" w:hAnsi="宋体" w:eastAsia="仿宋_GB2312"/>
          <w:b/>
          <w:szCs w:val="21"/>
        </w:rPr>
      </w:pPr>
      <w:bookmarkStart w:id="171" w:name="_Toc26447_WPSOffice_Level1"/>
      <w:bookmarkStart w:id="172" w:name="_Toc2304_WPSOffice_Level1"/>
      <w:bookmarkStart w:id="173" w:name="_Toc1308_WPSOffice_Level1"/>
      <w:r>
        <w:rPr>
          <w:rFonts w:hint="eastAsia" w:ascii="仿宋_GB2312" w:hAnsi="宋体" w:eastAsia="仿宋_GB2312"/>
          <w:b/>
          <w:szCs w:val="21"/>
        </w:rPr>
        <w:t>9.伴随服务</w:t>
      </w:r>
      <w:bookmarkEnd w:id="171"/>
      <w:bookmarkEnd w:id="172"/>
      <w:bookmarkEnd w:id="173"/>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9.1供方应提供所交付货物的全套技术文件资料，包括产品目录、图纸、操作手册、使用说明、维护手册和服务指南等。</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9.2供方还应提供下列服务：</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9.2.1货物的现场安装、启动和试运行；</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9.2.2提供货物组装和维修所需的工具；</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9.2.3在质量保证期内对所交付货物提供运行监督、维修、保养等,如果招标文件没有特别要求，以供方在投标文件中提交的售后服务承诺书为准。如果上述文件规定有不一致之处，以对需方有利的为准。</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9.2.4在制造厂家或在项目现场就货物的安装、启动、运行、维护等对需方人员进行培训，直至需方人员掌握全部上述技能为止。</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9.3伴随服务的费用应含在合同价中，不单独进行支付。</w:t>
      </w:r>
    </w:p>
    <w:p>
      <w:pPr>
        <w:adjustRightInd w:val="0"/>
        <w:snapToGrid w:val="0"/>
        <w:spacing w:line="360" w:lineRule="auto"/>
        <w:ind w:firstLine="411" w:firstLineChars="196"/>
        <w:rPr>
          <w:rFonts w:ascii="仿宋_GB2312" w:hAnsi="宋体" w:eastAsia="仿宋_GB2312"/>
          <w:b/>
          <w:szCs w:val="21"/>
        </w:rPr>
      </w:pPr>
      <w:bookmarkStart w:id="174" w:name="_Toc14320_WPSOffice_Level1"/>
      <w:bookmarkStart w:id="175" w:name="_Toc7636_WPSOffice_Level1"/>
      <w:bookmarkStart w:id="176" w:name="_Toc8205_WPSOffice_Level1"/>
      <w:r>
        <w:rPr>
          <w:rFonts w:hint="eastAsia" w:ascii="仿宋_GB2312" w:hAnsi="宋体" w:eastAsia="仿宋_GB2312"/>
          <w:b/>
          <w:szCs w:val="21"/>
        </w:rPr>
        <w:t>10.质量保证期</w:t>
      </w:r>
      <w:bookmarkEnd w:id="174"/>
      <w:bookmarkEnd w:id="175"/>
      <w:bookmarkEnd w:id="176"/>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10.1以招标文件中的规定为准，如果投标文件中的承诺优于招标文件规定，则以投标文件为准。</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10.2如果招标文件没有特别要求，以供方在投标文件中提交的制造厂商的有关文件为准。如果上述文件规定有不一致之处，以对需方有利的为准。</w:t>
      </w:r>
    </w:p>
    <w:p>
      <w:pPr>
        <w:adjustRightInd w:val="0"/>
        <w:snapToGrid w:val="0"/>
        <w:spacing w:line="360" w:lineRule="auto"/>
        <w:ind w:firstLine="411" w:firstLineChars="196"/>
        <w:rPr>
          <w:rFonts w:ascii="仿宋_GB2312" w:hAnsi="宋体" w:eastAsia="仿宋_GB2312"/>
          <w:b/>
          <w:szCs w:val="21"/>
        </w:rPr>
      </w:pPr>
      <w:bookmarkStart w:id="177" w:name="_Toc16220_WPSOffice_Level1"/>
      <w:bookmarkStart w:id="178" w:name="_Toc13950_WPSOffice_Level1"/>
      <w:bookmarkStart w:id="179" w:name="_Toc18427_WPSOffice_Level1"/>
      <w:r>
        <w:rPr>
          <w:rFonts w:hint="eastAsia" w:ascii="仿宋_GB2312" w:hAnsi="宋体" w:eastAsia="仿宋_GB2312"/>
          <w:b/>
          <w:szCs w:val="21"/>
        </w:rPr>
        <w:t>11.质量保证</w:t>
      </w:r>
      <w:bookmarkEnd w:id="177"/>
      <w:bookmarkEnd w:id="178"/>
      <w:bookmarkEnd w:id="179"/>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11.1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招标文件、投标文件确定的性能。由于设计、工艺或材料的缺陷而产生的故障，供方应向需方承担质量保证责任，该责任不受质量保证期的限制。</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11.2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11.3如果供方在接到需方通知后，在本政府采购合同约定的响应时间内没有弥补缺陷，需方可采取必要的补救措施，但其风险和费用将由供方负担，并且需方根据合同规定对供方行使的其它权利不受影响。</w:t>
      </w:r>
    </w:p>
    <w:p>
      <w:pPr>
        <w:adjustRightInd w:val="0"/>
        <w:snapToGrid w:val="0"/>
        <w:spacing w:line="360" w:lineRule="auto"/>
        <w:ind w:firstLine="411" w:firstLineChars="196"/>
        <w:rPr>
          <w:rFonts w:ascii="仿宋_GB2312" w:hAnsi="宋体" w:eastAsia="仿宋_GB2312"/>
          <w:b/>
          <w:szCs w:val="21"/>
        </w:rPr>
      </w:pPr>
      <w:bookmarkStart w:id="180" w:name="_Toc9090_WPSOffice_Level1"/>
      <w:bookmarkStart w:id="181" w:name="_Toc29469_WPSOffice_Level1"/>
      <w:bookmarkStart w:id="182" w:name="_Toc24667_WPSOffice_Level1"/>
      <w:r>
        <w:rPr>
          <w:rFonts w:hint="eastAsia" w:ascii="仿宋_GB2312" w:hAnsi="宋体" w:eastAsia="仿宋_GB2312"/>
          <w:b/>
          <w:szCs w:val="21"/>
        </w:rPr>
        <w:t>12.技术服务和保修责任</w:t>
      </w:r>
      <w:bookmarkEnd w:id="180"/>
      <w:bookmarkEnd w:id="181"/>
      <w:bookmarkEnd w:id="182"/>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12.1供方对政府采购合同货物的保修期，以招标文件中的规定为准，如果投标文件中的承诺优于招标文件规定，则以投标文件为准。</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12.2供方应按如下内容提供售后服务：</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12.2.1产品经过试运行期，所有性能指标达到技术规范书的要求时，可按招标文件、投标文件内容进行初验。在试运行期间，由于产品质量等造成某些指标达不到要求，供方须更换或进行修复，试运行期重新计算。</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12.2.2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12.2.3保修期间供方要保修除消耗品以外的所有产品。如果系统、设备等发生故障，供方要调查故障原因并修复直至满足最终验收指标和性能的要求，或者修理、更换整个或部分有缺陷的材料。</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12.2.4保修期内，供方提供电话、电子邮件、Web、现场服务等方式的技术支持，对用户的现场服务要求，供方必须按投标文件做出的承诺进行响应。</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12.2.5保修期内，供方应对出现故障无法修复的产品或无法正常运行的系统，提供替代产品以保证系统的正常工作。</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12.2.6保修期内，供方应投标时的承诺提供相关服务。</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12.2.7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12.2.8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12.2.9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尚未支付的政府采购合同价款中扣除。如果这些金额不足以补偿，需方有权向供方提出不足部分的赔偿要求。货物经维修或更换后仍无法达到约定质量要求和技术标准，需方有权退货并向供方索赔。</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12.2.10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pPr>
        <w:adjustRightInd w:val="0"/>
        <w:snapToGrid w:val="0"/>
        <w:spacing w:line="360" w:lineRule="auto"/>
        <w:ind w:firstLine="411" w:firstLineChars="196"/>
        <w:rPr>
          <w:rFonts w:ascii="仿宋_GB2312" w:hAnsi="宋体" w:eastAsia="仿宋_GB2312"/>
          <w:b/>
          <w:szCs w:val="21"/>
        </w:rPr>
      </w:pPr>
      <w:bookmarkStart w:id="183" w:name="_Toc11781_WPSOffice_Level1"/>
      <w:bookmarkStart w:id="184" w:name="_Toc8548_WPSOffice_Level1"/>
      <w:bookmarkStart w:id="185" w:name="_Toc16924_WPSOffice_Level1"/>
      <w:r>
        <w:rPr>
          <w:rFonts w:hint="eastAsia" w:ascii="仿宋_GB2312" w:hAnsi="宋体" w:eastAsia="仿宋_GB2312"/>
          <w:b/>
          <w:szCs w:val="21"/>
        </w:rPr>
        <w:t>13.违约责任</w:t>
      </w:r>
      <w:bookmarkEnd w:id="183"/>
      <w:bookmarkEnd w:id="184"/>
      <w:bookmarkEnd w:id="185"/>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13.1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约定的任何其它义务时，需方有权向供方发出违约通知书，供方应按照需方选择的下列一种或多种方式承担赔偿责任：</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13.1.1在需方同意延长的期限内交付全部货物、提供服务并承担由此给需方造成的一切损失；</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13.1.2在需方规定的时间内，用符合政府采购合同约定的规格、质量和性能要求的新零件、部件或货物来更换有缺陷的零件、部件和货物并修补缺陷部分以达到政府采购合同规定的要求，供方应承担由此发生的一切费用和风险。此时，相关货物的保修期也应相应延长；</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13.1.3根据货物低劣程度、损坏程度以及使需方所遭受的损失，经双方商定降低货物的价格或赔偿需方所遭受的损失；</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13.1.4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13.1.5需方有权部分或全部解除政府采购合同并要求供方赔偿由此造成的损失。此时需方可采取必要的补救措施，相关费用由供方承担。</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13.2如果供方在收到需方的违约通知书后10日内未作答复也没有按照需方选择的方式承担违约责任，则需方有权从尚未支付的政府采购合同价款中扣回索赔金额，如果招标文件要求中标人提交履约保证金，则需方有权先从履约保证金中扣除索赔金额。如果这些金额不足以补偿，需方有权向供方提出不足部分的赔偿要求。</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13.3延期交货的违约责任</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13.3.1供方未按政府采购合同规定的交货日期向需方交货时，则每逾期一日，供方应按逾期交付货物价款总值的0.05%计算，向需方支付逾期交货违约金，但不超过政府采购合同总金额的10%。供方支付逾期交货违约金并不免除供方交货的责任。</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13.3.2如供方在政府采购合同规定的交货日期后10天内仍未能交货，则视为供方不能交货，需方有权解除政府采购合同，供方除退还已收取的货款外，还应向需方偿付政府采购合同总金额10%的违约金。</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13.4以上各项交付的违约金并不影响违约方履行政府采购合同的各项义务。</w:t>
      </w:r>
    </w:p>
    <w:p>
      <w:pPr>
        <w:adjustRightInd w:val="0"/>
        <w:snapToGrid w:val="0"/>
        <w:spacing w:line="360" w:lineRule="auto"/>
        <w:ind w:firstLine="411" w:firstLineChars="196"/>
        <w:rPr>
          <w:rFonts w:ascii="仿宋_GB2312" w:hAnsi="宋体" w:eastAsia="仿宋_GB2312"/>
          <w:b/>
          <w:szCs w:val="21"/>
        </w:rPr>
      </w:pPr>
      <w:bookmarkStart w:id="186" w:name="_Toc21833_WPSOffice_Level1"/>
      <w:bookmarkStart w:id="187" w:name="_Toc32310_WPSOffice_Level1"/>
      <w:bookmarkStart w:id="188" w:name="_Toc28610_WPSOffice_Level1"/>
      <w:r>
        <w:rPr>
          <w:rFonts w:hint="eastAsia" w:ascii="仿宋_GB2312" w:hAnsi="宋体" w:eastAsia="仿宋_GB2312"/>
          <w:b/>
          <w:szCs w:val="21"/>
        </w:rPr>
        <w:t>14.不可抗力</w:t>
      </w:r>
      <w:bookmarkEnd w:id="186"/>
      <w:bookmarkEnd w:id="187"/>
      <w:bookmarkEnd w:id="188"/>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14.1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14.2本条所述的“不可抗力”系指那些双方无法控制，不可预见的事件，但不包括双方的违约或疏忽。这些事件包括但不限于：战争、严重火灾、洪水、台风、地震。</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14.3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pPr>
        <w:adjustRightInd w:val="0"/>
        <w:snapToGrid w:val="0"/>
        <w:spacing w:line="360" w:lineRule="auto"/>
        <w:ind w:firstLine="411" w:firstLineChars="196"/>
        <w:rPr>
          <w:rFonts w:ascii="仿宋_GB2312" w:hAnsi="宋体" w:eastAsia="仿宋_GB2312"/>
          <w:b/>
          <w:szCs w:val="21"/>
        </w:rPr>
      </w:pPr>
      <w:bookmarkStart w:id="189" w:name="_Toc12037_WPSOffice_Level1"/>
      <w:bookmarkStart w:id="190" w:name="_Toc3262_WPSOffice_Level1"/>
      <w:bookmarkStart w:id="191" w:name="_Toc13390_WPSOffice_Level1"/>
      <w:r>
        <w:rPr>
          <w:rFonts w:hint="eastAsia" w:ascii="仿宋_GB2312" w:hAnsi="宋体" w:eastAsia="仿宋_GB2312"/>
          <w:b/>
          <w:szCs w:val="21"/>
        </w:rPr>
        <w:t>15.争端的解决</w:t>
      </w:r>
      <w:bookmarkEnd w:id="189"/>
      <w:bookmarkEnd w:id="190"/>
      <w:bookmarkEnd w:id="191"/>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15.1政府采购合同的履行、违约责任和解决争议的方法等适用《中华人民共和国合同法》。</w:t>
      </w:r>
    </w:p>
    <w:p>
      <w:pPr>
        <w:adjustRightInd w:val="0"/>
        <w:snapToGrid w:val="0"/>
        <w:spacing w:line="360" w:lineRule="auto"/>
        <w:ind w:firstLine="411" w:firstLineChars="196"/>
        <w:rPr>
          <w:rFonts w:ascii="仿宋_GB2312" w:hAnsi="宋体" w:eastAsia="仿宋_GB2312"/>
          <w:szCs w:val="21"/>
        </w:rPr>
      </w:pPr>
      <w:r>
        <w:rPr>
          <w:rFonts w:ascii="仿宋_GB2312" w:hAnsi="宋体" w:eastAsia="仿宋_GB2312"/>
          <w:szCs w:val="21"/>
        </w:rPr>
        <w:t>1</w:t>
      </w:r>
      <w:r>
        <w:rPr>
          <w:rFonts w:hint="eastAsia" w:ascii="仿宋_GB2312" w:hAnsi="宋体" w:eastAsia="仿宋_GB2312"/>
          <w:szCs w:val="21"/>
        </w:rPr>
        <w:t>5</w:t>
      </w:r>
      <w:r>
        <w:rPr>
          <w:rFonts w:ascii="仿宋_GB2312" w:hAnsi="宋体" w:eastAsia="仿宋_GB2312"/>
          <w:szCs w:val="21"/>
        </w:rPr>
        <w:t>.2</w:t>
      </w:r>
      <w:r>
        <w:rPr>
          <w:rFonts w:hint="eastAsia" w:ascii="仿宋_GB2312" w:hAnsi="宋体" w:eastAsia="仿宋_GB2312"/>
          <w:szCs w:val="21"/>
        </w:rPr>
        <w:t>需方和供方应通过友好协商，解决在执行本政府采购合同过程中所发生的或与本政府采购合同有关的一切争端。</w:t>
      </w:r>
    </w:p>
    <w:p>
      <w:pPr>
        <w:adjustRightInd w:val="0"/>
        <w:snapToGrid w:val="0"/>
        <w:spacing w:line="360" w:lineRule="auto"/>
        <w:ind w:firstLine="411" w:firstLineChars="196"/>
        <w:rPr>
          <w:rFonts w:ascii="仿宋_GB2312" w:hAnsi="宋体" w:eastAsia="仿宋_GB2312"/>
          <w:szCs w:val="21"/>
        </w:rPr>
      </w:pPr>
      <w:r>
        <w:rPr>
          <w:rFonts w:ascii="仿宋_GB2312" w:hAnsi="宋体" w:eastAsia="仿宋_GB2312"/>
          <w:szCs w:val="21"/>
        </w:rPr>
        <w:t>1</w:t>
      </w:r>
      <w:r>
        <w:rPr>
          <w:rFonts w:hint="eastAsia" w:ascii="仿宋_GB2312" w:hAnsi="宋体" w:eastAsia="仿宋_GB2312"/>
          <w:szCs w:val="21"/>
        </w:rPr>
        <w:t>5</w:t>
      </w:r>
      <w:r>
        <w:rPr>
          <w:rFonts w:ascii="仿宋_GB2312" w:hAnsi="宋体" w:eastAsia="仿宋_GB2312"/>
          <w:szCs w:val="21"/>
        </w:rPr>
        <w:t>.3</w:t>
      </w:r>
      <w:r>
        <w:rPr>
          <w:rFonts w:hint="eastAsia" w:ascii="仿宋_GB2312" w:hAnsi="宋体" w:eastAsia="仿宋_GB2312"/>
          <w:szCs w:val="21"/>
        </w:rPr>
        <w:t>如果协商不成，双方中的任何一方可向需方所在地的人民法院提起诉讼。</w:t>
      </w:r>
    </w:p>
    <w:p>
      <w:pPr>
        <w:adjustRightInd w:val="0"/>
        <w:snapToGrid w:val="0"/>
        <w:spacing w:line="360" w:lineRule="auto"/>
        <w:ind w:firstLine="411" w:firstLineChars="196"/>
        <w:rPr>
          <w:rFonts w:ascii="仿宋_GB2312" w:hAnsi="宋体" w:eastAsia="仿宋_GB2312"/>
          <w:szCs w:val="21"/>
        </w:rPr>
      </w:pPr>
      <w:r>
        <w:rPr>
          <w:rFonts w:ascii="仿宋_GB2312" w:hAnsi="宋体" w:eastAsia="仿宋_GB2312"/>
          <w:szCs w:val="21"/>
        </w:rPr>
        <w:t>1</w:t>
      </w:r>
      <w:r>
        <w:rPr>
          <w:rFonts w:hint="eastAsia" w:ascii="仿宋_GB2312" w:hAnsi="宋体" w:eastAsia="仿宋_GB2312"/>
          <w:szCs w:val="21"/>
        </w:rPr>
        <w:t>5</w:t>
      </w:r>
      <w:r>
        <w:rPr>
          <w:rFonts w:ascii="仿宋_GB2312" w:hAnsi="宋体" w:eastAsia="仿宋_GB2312"/>
          <w:szCs w:val="21"/>
        </w:rPr>
        <w:t>.4</w:t>
      </w:r>
      <w:r>
        <w:rPr>
          <w:rFonts w:hint="eastAsia" w:ascii="仿宋_GB2312" w:hAnsi="宋体" w:eastAsia="仿宋_GB2312"/>
          <w:szCs w:val="21"/>
        </w:rPr>
        <w:t>因政府采购合同部分履行引发诉讼的，在诉讼期间，除正在进行诉讼的部分外，本政府采购合同的其它部分应继续执行。</w:t>
      </w:r>
    </w:p>
    <w:p>
      <w:pPr>
        <w:adjustRightInd w:val="0"/>
        <w:snapToGrid w:val="0"/>
        <w:spacing w:line="360" w:lineRule="auto"/>
        <w:ind w:firstLine="411" w:firstLineChars="196"/>
        <w:rPr>
          <w:rFonts w:ascii="仿宋_GB2312" w:hAnsi="宋体" w:eastAsia="仿宋_GB2312"/>
          <w:b/>
          <w:szCs w:val="21"/>
        </w:rPr>
      </w:pPr>
      <w:bookmarkStart w:id="192" w:name="_Toc27539_WPSOffice_Level1"/>
      <w:bookmarkStart w:id="193" w:name="_Toc1917_WPSOffice_Level1"/>
      <w:bookmarkStart w:id="194" w:name="_Toc7773_WPSOffice_Level1"/>
      <w:r>
        <w:rPr>
          <w:rFonts w:hint="eastAsia" w:ascii="仿宋_GB2312" w:hAnsi="宋体" w:eastAsia="仿宋_GB2312"/>
          <w:b/>
          <w:szCs w:val="21"/>
        </w:rPr>
        <w:t>16.违约终止政府采购合同</w:t>
      </w:r>
      <w:bookmarkEnd w:id="192"/>
      <w:bookmarkEnd w:id="193"/>
      <w:bookmarkEnd w:id="194"/>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16.1在需方因供方违约而按政府采购合同约定采取的任何补救措施均无效的情况下，需方可在下列情况下向供方发出书面通知，提出终止部分或全部政府采购合同。</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16.1.1如果供方未能在政府采购合同规定的限期或需方同意延长的限期内提供部分或全部货物和服务；</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16.1.2未经需方事先书面同意，供方部分转让和分包或全部转让和分包其应履行的政府采购合同义务。</w:t>
      </w:r>
    </w:p>
    <w:p>
      <w:pPr>
        <w:adjustRightInd w:val="0"/>
        <w:snapToGrid w:val="0"/>
        <w:spacing w:line="360" w:lineRule="auto"/>
        <w:ind w:firstLine="411" w:firstLineChars="196"/>
        <w:rPr>
          <w:rFonts w:ascii="仿宋_GB2312" w:hAnsi="宋体" w:eastAsia="仿宋_GB2312"/>
          <w:b/>
          <w:szCs w:val="21"/>
        </w:rPr>
      </w:pPr>
      <w:bookmarkStart w:id="195" w:name="_Toc11967_WPSOffice_Level1"/>
      <w:bookmarkStart w:id="196" w:name="_Toc4220_WPSOffice_Level1"/>
      <w:bookmarkStart w:id="197" w:name="_Toc27976_WPSOffice_Level1"/>
      <w:r>
        <w:rPr>
          <w:rFonts w:hint="eastAsia" w:ascii="仿宋_GB2312" w:hAnsi="宋体" w:eastAsia="仿宋_GB2312"/>
          <w:b/>
          <w:szCs w:val="21"/>
        </w:rPr>
        <w:t>17.政府采购合同转让和分包</w:t>
      </w:r>
      <w:bookmarkEnd w:id="195"/>
      <w:bookmarkEnd w:id="196"/>
      <w:bookmarkEnd w:id="197"/>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除招标文件规定,并经需方事先书面同意外，供方不得部分转让和分包或全部转让和分包其应履行的政府采购合同义务。</w:t>
      </w:r>
    </w:p>
    <w:p>
      <w:pPr>
        <w:adjustRightInd w:val="0"/>
        <w:snapToGrid w:val="0"/>
        <w:spacing w:line="360" w:lineRule="auto"/>
        <w:ind w:firstLine="411" w:firstLineChars="196"/>
        <w:rPr>
          <w:rFonts w:ascii="仿宋_GB2312" w:hAnsi="宋体" w:eastAsia="仿宋_GB2312"/>
          <w:b/>
          <w:szCs w:val="21"/>
        </w:rPr>
      </w:pPr>
      <w:bookmarkStart w:id="198" w:name="_Toc30020_WPSOffice_Level1"/>
      <w:bookmarkStart w:id="199" w:name="_Toc16873_WPSOffice_Level1"/>
      <w:bookmarkStart w:id="200" w:name="_Toc737_WPSOffice_Level1"/>
      <w:r>
        <w:rPr>
          <w:rFonts w:hint="eastAsia" w:ascii="仿宋_GB2312" w:hAnsi="宋体" w:eastAsia="仿宋_GB2312"/>
          <w:b/>
          <w:szCs w:val="21"/>
        </w:rPr>
        <w:t>18.适用法律：</w:t>
      </w:r>
      <w:bookmarkEnd w:id="198"/>
      <w:bookmarkEnd w:id="199"/>
      <w:bookmarkEnd w:id="200"/>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本政府采购合同按照中华人民共和国的现行法律进行解释。</w:t>
      </w:r>
    </w:p>
    <w:p>
      <w:pPr>
        <w:adjustRightInd w:val="0"/>
        <w:snapToGrid w:val="0"/>
        <w:spacing w:line="360" w:lineRule="auto"/>
        <w:ind w:firstLine="411" w:firstLineChars="196"/>
        <w:rPr>
          <w:rFonts w:ascii="仿宋_GB2312" w:hAnsi="宋体" w:eastAsia="仿宋_GB2312"/>
          <w:b/>
          <w:szCs w:val="21"/>
        </w:rPr>
      </w:pPr>
      <w:bookmarkStart w:id="201" w:name="_Toc29009_WPSOffice_Level1"/>
      <w:bookmarkStart w:id="202" w:name="_Toc23749_WPSOffice_Level1"/>
      <w:bookmarkStart w:id="203" w:name="_Toc20985_WPSOffice_Level1"/>
      <w:r>
        <w:rPr>
          <w:rFonts w:hint="eastAsia" w:ascii="仿宋_GB2312" w:hAnsi="宋体" w:eastAsia="仿宋_GB2312"/>
          <w:b/>
          <w:szCs w:val="21"/>
        </w:rPr>
        <w:t>19.政府采购合同生效</w:t>
      </w:r>
      <w:bookmarkEnd w:id="201"/>
      <w:bookmarkEnd w:id="202"/>
      <w:bookmarkEnd w:id="203"/>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19.1本政府采购合同在供需双方法定代表人或其授权代理人签字和加盖公章后生效。</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19.2本政府采购合同一式五份，需方执二份，供方、采购代理机构、财政部门各执一份。</w:t>
      </w:r>
    </w:p>
    <w:p>
      <w:pPr>
        <w:adjustRightInd w:val="0"/>
        <w:snapToGrid w:val="0"/>
        <w:spacing w:line="360" w:lineRule="auto"/>
        <w:ind w:firstLine="411" w:firstLineChars="196"/>
        <w:rPr>
          <w:rFonts w:ascii="仿宋_GB2312" w:hAnsi="宋体" w:eastAsia="仿宋_GB2312"/>
          <w:b/>
          <w:szCs w:val="21"/>
        </w:rPr>
      </w:pPr>
      <w:bookmarkStart w:id="204" w:name="_Toc405_WPSOffice_Level1"/>
      <w:bookmarkStart w:id="205" w:name="_Toc20274_WPSOffice_Level1"/>
      <w:bookmarkStart w:id="206" w:name="_Toc12339_WPSOffice_Level1"/>
      <w:r>
        <w:rPr>
          <w:rFonts w:hint="eastAsia" w:ascii="仿宋_GB2312" w:hAnsi="宋体" w:eastAsia="仿宋_GB2312"/>
          <w:b/>
          <w:szCs w:val="21"/>
        </w:rPr>
        <w:t>20.政府采购合同附件</w:t>
      </w:r>
      <w:bookmarkEnd w:id="204"/>
      <w:bookmarkEnd w:id="205"/>
      <w:bookmarkEnd w:id="206"/>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下列文件构成本政府采购合同不可分割的组成部分，与本政府采购合同具有同等法律效力：</w:t>
      </w:r>
    </w:p>
    <w:p>
      <w:pPr>
        <w:adjustRightInd w:val="0"/>
        <w:snapToGrid w:val="0"/>
        <w:spacing w:line="360" w:lineRule="auto"/>
        <w:ind w:firstLine="411" w:firstLineChars="196"/>
        <w:rPr>
          <w:rFonts w:ascii="仿宋_GB2312" w:hAnsi="宋体" w:eastAsia="仿宋_GB2312"/>
          <w:szCs w:val="21"/>
        </w:rPr>
      </w:pPr>
      <w:bookmarkStart w:id="207" w:name="_Toc3518_WPSOffice_Level2"/>
      <w:r>
        <w:rPr>
          <w:rFonts w:hint="eastAsia" w:ascii="仿宋_GB2312" w:hAnsi="宋体" w:eastAsia="仿宋_GB2312"/>
          <w:szCs w:val="21"/>
        </w:rPr>
        <w:t>20.1招标文件；</w:t>
      </w:r>
      <w:bookmarkEnd w:id="207"/>
    </w:p>
    <w:p>
      <w:pPr>
        <w:adjustRightInd w:val="0"/>
        <w:snapToGrid w:val="0"/>
        <w:spacing w:line="360" w:lineRule="auto"/>
        <w:ind w:firstLine="411" w:firstLineChars="196"/>
        <w:rPr>
          <w:rFonts w:ascii="仿宋_GB2312" w:hAnsi="宋体" w:eastAsia="仿宋_GB2312"/>
          <w:szCs w:val="21"/>
        </w:rPr>
      </w:pPr>
      <w:bookmarkStart w:id="208" w:name="_Toc7342_WPSOffice_Level2"/>
      <w:r>
        <w:rPr>
          <w:rFonts w:hint="eastAsia" w:ascii="仿宋_GB2312" w:hAnsi="宋体" w:eastAsia="仿宋_GB2312"/>
          <w:szCs w:val="21"/>
        </w:rPr>
        <w:t>20.2招标文件的更正公告、变更公告；</w:t>
      </w:r>
      <w:bookmarkEnd w:id="208"/>
    </w:p>
    <w:p>
      <w:pPr>
        <w:adjustRightInd w:val="0"/>
        <w:snapToGrid w:val="0"/>
        <w:spacing w:line="360" w:lineRule="auto"/>
        <w:ind w:firstLine="411" w:firstLineChars="196"/>
        <w:rPr>
          <w:rFonts w:ascii="仿宋_GB2312" w:hAnsi="宋体" w:eastAsia="仿宋_GB2312"/>
          <w:szCs w:val="21"/>
        </w:rPr>
      </w:pPr>
      <w:bookmarkStart w:id="209" w:name="_Toc576_WPSOffice_Level2"/>
      <w:r>
        <w:rPr>
          <w:rFonts w:hint="eastAsia" w:ascii="仿宋_GB2312" w:hAnsi="宋体" w:eastAsia="仿宋_GB2312"/>
          <w:szCs w:val="21"/>
        </w:rPr>
        <w:t>20.3中标人提交的投标文件；</w:t>
      </w:r>
      <w:bookmarkEnd w:id="209"/>
    </w:p>
    <w:p>
      <w:pPr>
        <w:adjustRightInd w:val="0"/>
        <w:snapToGrid w:val="0"/>
        <w:spacing w:line="360" w:lineRule="auto"/>
        <w:ind w:firstLine="411" w:firstLineChars="196"/>
        <w:rPr>
          <w:rFonts w:ascii="仿宋_GB2312" w:hAnsi="宋体" w:eastAsia="仿宋_GB2312"/>
          <w:szCs w:val="21"/>
        </w:rPr>
      </w:pPr>
      <w:bookmarkStart w:id="210" w:name="_Toc25464_WPSOffice_Level2"/>
      <w:r>
        <w:rPr>
          <w:rFonts w:hint="eastAsia" w:ascii="仿宋_GB2312" w:hAnsi="宋体" w:eastAsia="仿宋_GB2312"/>
          <w:szCs w:val="21"/>
        </w:rPr>
        <w:t>20.4政府采购合同条款；</w:t>
      </w:r>
      <w:bookmarkEnd w:id="210"/>
    </w:p>
    <w:p>
      <w:pPr>
        <w:adjustRightInd w:val="0"/>
        <w:snapToGrid w:val="0"/>
        <w:spacing w:line="360" w:lineRule="auto"/>
        <w:ind w:firstLine="411" w:firstLineChars="196"/>
        <w:rPr>
          <w:rFonts w:ascii="仿宋_GB2312" w:hAnsi="宋体" w:eastAsia="仿宋_GB2312"/>
          <w:szCs w:val="21"/>
        </w:rPr>
      </w:pPr>
      <w:bookmarkStart w:id="211" w:name="_Toc25590_WPSOffice_Level2"/>
      <w:r>
        <w:rPr>
          <w:rFonts w:hint="eastAsia" w:ascii="仿宋_GB2312" w:hAnsi="宋体" w:eastAsia="仿宋_GB2312"/>
          <w:szCs w:val="21"/>
        </w:rPr>
        <w:t>20.5中标通知书；</w:t>
      </w:r>
      <w:bookmarkEnd w:id="211"/>
    </w:p>
    <w:p>
      <w:pPr>
        <w:adjustRightInd w:val="0"/>
        <w:snapToGrid w:val="0"/>
        <w:spacing w:line="360" w:lineRule="auto"/>
        <w:ind w:firstLine="411" w:firstLineChars="196"/>
        <w:rPr>
          <w:rFonts w:ascii="仿宋_GB2312" w:hAnsi="宋体" w:eastAsia="仿宋_GB2312"/>
          <w:szCs w:val="21"/>
        </w:rPr>
      </w:pPr>
      <w:bookmarkStart w:id="212" w:name="_Toc10297_WPSOffice_Level2"/>
      <w:r>
        <w:rPr>
          <w:rFonts w:hint="eastAsia" w:ascii="仿宋_GB2312" w:hAnsi="宋体" w:eastAsia="仿宋_GB2312"/>
          <w:szCs w:val="21"/>
        </w:rPr>
        <w:t>20.6政府采购合同的其它附件。</w:t>
      </w:r>
      <w:bookmarkEnd w:id="212"/>
    </w:p>
    <w:p>
      <w:pPr>
        <w:ind w:firstLine="470" w:firstLineChars="196"/>
        <w:rPr>
          <w:rFonts w:ascii="仿宋_GB2312" w:hAnsi="宋体" w:eastAsia="仿宋_GB2312"/>
          <w:sz w:val="24"/>
        </w:rPr>
      </w:pPr>
    </w:p>
    <w:p>
      <w:pPr>
        <w:ind w:firstLine="470" w:firstLineChars="196"/>
        <w:rPr>
          <w:rFonts w:ascii="仿宋_GB2312" w:hAnsi="宋体" w:eastAsia="仿宋_GB2312"/>
          <w:sz w:val="24"/>
        </w:rPr>
      </w:pPr>
    </w:p>
    <w:p>
      <w:pPr>
        <w:rPr>
          <w:rFonts w:ascii="仿宋_GB2312" w:hAnsi="宋体" w:eastAsia="仿宋_GB2312"/>
          <w:sz w:val="24"/>
        </w:rPr>
      </w:pPr>
      <w:r>
        <w:rPr>
          <w:rFonts w:ascii="仿宋_GB2312" w:hAnsi="宋体" w:eastAsia="仿宋_GB2312"/>
          <w:sz w:val="24"/>
        </w:rPr>
        <w:br w:type="page"/>
      </w:r>
    </w:p>
    <w:p>
      <w:pPr>
        <w:pStyle w:val="4"/>
        <w:adjustRightInd w:val="0"/>
        <w:snapToGrid w:val="0"/>
        <w:spacing w:before="0" w:after="0" w:line="240" w:lineRule="auto"/>
        <w:jc w:val="left"/>
        <w:rPr>
          <w:rFonts w:ascii="仿宋_GB2312" w:hAnsi="宋体" w:eastAsia="仿宋_GB2312"/>
          <w:sz w:val="21"/>
          <w:szCs w:val="21"/>
        </w:rPr>
      </w:pPr>
      <w:bookmarkStart w:id="213" w:name="_Toc7342_WPSOffice_Level1"/>
      <w:bookmarkStart w:id="214" w:name="_Toc3044_WPSOffice_Level1"/>
      <w:bookmarkStart w:id="215" w:name="_Toc372_WPSOffice_Level1"/>
      <w:r>
        <w:rPr>
          <w:rFonts w:hint="eastAsia" w:ascii="仿宋_GB2312" w:hAnsi="仿宋_GB2312" w:eastAsia="仿宋_GB2312" w:cs="仿宋_GB2312"/>
          <w:szCs w:val="28"/>
        </w:rPr>
        <w:t>合同格式</w:t>
      </w:r>
      <w:bookmarkEnd w:id="213"/>
      <w:bookmarkEnd w:id="214"/>
      <w:bookmarkEnd w:id="215"/>
    </w:p>
    <w:p>
      <w:pPr>
        <w:adjustRightInd w:val="0"/>
        <w:snapToGrid w:val="0"/>
        <w:spacing w:line="360" w:lineRule="auto"/>
        <w:jc w:val="center"/>
        <w:rPr>
          <w:rFonts w:ascii="仿宋_GB2312" w:hAnsi="宋体" w:eastAsia="仿宋_GB2312"/>
          <w:b/>
          <w:bCs/>
          <w:sz w:val="44"/>
          <w:szCs w:val="44"/>
        </w:rPr>
      </w:pPr>
      <w:bookmarkStart w:id="216" w:name="_Toc7832_WPSOffice_Level1"/>
      <w:bookmarkStart w:id="217" w:name="_Toc11644_WPSOffice_Level1"/>
      <w:r>
        <w:rPr>
          <w:rFonts w:hint="eastAsia" w:ascii="仿宋_GB2312" w:hAnsi="宋体" w:eastAsia="仿宋_GB2312"/>
          <w:b/>
          <w:bCs/>
          <w:sz w:val="44"/>
          <w:szCs w:val="44"/>
        </w:rPr>
        <w:t>政府采购合同格式</w:t>
      </w:r>
      <w:bookmarkEnd w:id="216"/>
      <w:bookmarkEnd w:id="217"/>
    </w:p>
    <w:p>
      <w:pPr>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政府采购合同编号：</w:t>
      </w:r>
    </w:p>
    <w:p>
      <w:pPr>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签订地点：</w:t>
      </w:r>
    </w:p>
    <w:p>
      <w:pPr>
        <w:adjustRightInd w:val="0"/>
        <w:snapToGrid w:val="0"/>
        <w:spacing w:line="360" w:lineRule="auto"/>
        <w:ind w:firstLine="640"/>
        <w:jc w:val="left"/>
        <w:rPr>
          <w:rFonts w:ascii="仿宋_GB2312" w:hAnsi="宋体" w:eastAsia="仿宋_GB2312"/>
          <w:szCs w:val="21"/>
        </w:rPr>
      </w:pPr>
      <w:r>
        <w:rPr>
          <w:rFonts w:hint="eastAsia" w:ascii="仿宋_GB2312" w:hAnsi="宋体" w:eastAsia="仿宋_GB2312"/>
          <w:szCs w:val="21"/>
          <w:u w:val="single"/>
        </w:rPr>
        <w:t xml:space="preserve">    (需方名称</w:t>
      </w:r>
      <w:r>
        <w:rPr>
          <w:rFonts w:hint="eastAsia" w:ascii="仿宋_GB2312" w:hAnsi="宋体" w:eastAsia="仿宋_GB2312"/>
          <w:szCs w:val="21"/>
        </w:rPr>
        <w:t>) （以下简称需方）和</w:t>
      </w:r>
      <w:r>
        <w:rPr>
          <w:rFonts w:hint="eastAsia" w:ascii="仿宋_GB2312" w:hAnsi="宋体" w:eastAsia="仿宋_GB2312"/>
          <w:szCs w:val="21"/>
          <w:u w:val="single"/>
        </w:rPr>
        <w:t xml:space="preserve">   (供方名称)    </w:t>
      </w:r>
      <w:r>
        <w:rPr>
          <w:rFonts w:hint="eastAsia" w:ascii="仿宋_GB2312" w:hAnsi="宋体" w:eastAsia="仿宋_GB2312"/>
          <w:szCs w:val="21"/>
        </w:rPr>
        <w:t xml:space="preserve"> （以下简称供方）根据《中华人民共和国合同法》和有关法律法规，遵循平等、自愿、公平和诚实信用原则，同意按照下面的条款和条件订立本政府采购合同，共同信守。</w:t>
      </w:r>
    </w:p>
    <w:p>
      <w:pPr>
        <w:adjustRightInd w:val="0"/>
        <w:snapToGrid w:val="0"/>
        <w:spacing w:line="360" w:lineRule="auto"/>
        <w:jc w:val="left"/>
        <w:rPr>
          <w:rFonts w:ascii="黑体" w:hAnsi="宋体" w:eastAsia="黑体"/>
          <w:b/>
          <w:szCs w:val="21"/>
        </w:rPr>
      </w:pPr>
      <w:r>
        <w:rPr>
          <w:rFonts w:hint="eastAsia" w:ascii="黑体" w:hAnsi="宋体" w:eastAsia="黑体"/>
          <w:b/>
          <w:szCs w:val="21"/>
        </w:rPr>
        <w:t>　　</w:t>
      </w:r>
      <w:bookmarkStart w:id="218" w:name="_Toc13230_WPSOffice_Level2"/>
      <w:r>
        <w:rPr>
          <w:rFonts w:hint="eastAsia" w:ascii="黑体" w:hAnsi="宋体" w:eastAsia="黑体"/>
          <w:b/>
          <w:szCs w:val="21"/>
        </w:rPr>
        <w:t>一、政府采购合同文件</w:t>
      </w:r>
      <w:bookmarkEnd w:id="218"/>
    </w:p>
    <w:p>
      <w:pPr>
        <w:adjustRightInd w:val="0"/>
        <w:snapToGrid w:val="0"/>
        <w:spacing w:line="360" w:lineRule="auto"/>
        <w:jc w:val="left"/>
        <w:rPr>
          <w:rFonts w:ascii="仿宋_GB2312" w:hAnsi="宋体" w:eastAsia="仿宋_GB2312"/>
          <w:szCs w:val="21"/>
        </w:rPr>
      </w:pPr>
      <w:r>
        <w:rPr>
          <w:rFonts w:hint="eastAsia" w:ascii="仿宋_GB2312" w:hAnsi="宋体" w:eastAsia="仿宋_GB2312"/>
          <w:szCs w:val="21"/>
        </w:rPr>
        <w:t xml:space="preserve">    本政府采购合同所附下列文件是构成本政府采购合同不可分割的部分：</w:t>
      </w:r>
    </w:p>
    <w:p>
      <w:pPr>
        <w:adjustRightInd w:val="0"/>
        <w:snapToGrid w:val="0"/>
        <w:spacing w:line="360" w:lineRule="auto"/>
        <w:ind w:firstLine="420" w:firstLineChars="200"/>
        <w:jc w:val="left"/>
        <w:rPr>
          <w:rFonts w:ascii="仿宋_GB2312" w:hAnsi="宋体" w:eastAsia="仿宋_GB2312"/>
          <w:szCs w:val="21"/>
        </w:rPr>
      </w:pPr>
      <w:r>
        <w:rPr>
          <w:rFonts w:hint="eastAsia" w:ascii="黑体" w:hAnsi="宋体" w:eastAsia="黑体"/>
          <w:szCs w:val="21"/>
        </w:rPr>
        <w:t>1.</w:t>
      </w:r>
      <w:r>
        <w:rPr>
          <w:rFonts w:hint="eastAsia" w:ascii="仿宋_GB2312" w:hAnsi="宋体" w:eastAsia="仿宋_GB2312"/>
          <w:szCs w:val="21"/>
        </w:rPr>
        <w:t>招标文件（招标文件编号）；</w:t>
      </w:r>
    </w:p>
    <w:p>
      <w:pPr>
        <w:adjustRightInd w:val="0"/>
        <w:snapToGrid w:val="0"/>
        <w:spacing w:line="360" w:lineRule="auto"/>
        <w:ind w:firstLine="420" w:firstLineChars="200"/>
        <w:jc w:val="left"/>
        <w:rPr>
          <w:rFonts w:ascii="仿宋_GB2312" w:hAnsi="宋体" w:eastAsia="仿宋_GB2312" w:cs="Arial"/>
          <w:szCs w:val="21"/>
        </w:rPr>
      </w:pPr>
      <w:r>
        <w:rPr>
          <w:rFonts w:hint="eastAsia" w:ascii="黑体" w:hAnsi="宋体" w:eastAsia="黑体"/>
          <w:szCs w:val="21"/>
        </w:rPr>
        <w:t>2.</w:t>
      </w:r>
      <w:r>
        <w:rPr>
          <w:rFonts w:hint="eastAsia" w:ascii="仿宋_GB2312" w:hAnsi="宋体" w:eastAsia="仿宋_GB2312" w:cs="Arial"/>
          <w:szCs w:val="21"/>
        </w:rPr>
        <w:t>招标文件的更正公告、变更公告；</w:t>
      </w:r>
    </w:p>
    <w:p>
      <w:pPr>
        <w:adjustRightInd w:val="0"/>
        <w:snapToGrid w:val="0"/>
        <w:spacing w:line="360" w:lineRule="auto"/>
        <w:ind w:firstLine="420" w:firstLineChars="200"/>
        <w:jc w:val="left"/>
        <w:rPr>
          <w:rFonts w:ascii="仿宋_GB2312" w:hAnsi="宋体" w:eastAsia="仿宋_GB2312"/>
          <w:szCs w:val="21"/>
        </w:rPr>
      </w:pPr>
      <w:r>
        <w:rPr>
          <w:rFonts w:hint="eastAsia" w:ascii="黑体" w:hAnsi="宋体" w:eastAsia="黑体"/>
          <w:szCs w:val="21"/>
        </w:rPr>
        <w:t>3.</w:t>
      </w:r>
      <w:r>
        <w:rPr>
          <w:rFonts w:hint="eastAsia" w:ascii="仿宋_GB2312" w:hAnsi="宋体" w:eastAsia="仿宋_GB2312"/>
          <w:szCs w:val="21"/>
        </w:rPr>
        <w:t>中标人提交的投标文件；</w:t>
      </w:r>
    </w:p>
    <w:p>
      <w:pPr>
        <w:adjustRightInd w:val="0"/>
        <w:snapToGrid w:val="0"/>
        <w:spacing w:line="360" w:lineRule="auto"/>
        <w:ind w:firstLine="420" w:firstLineChars="200"/>
        <w:jc w:val="left"/>
        <w:rPr>
          <w:rFonts w:ascii="仿宋_GB2312" w:hAnsi="宋体" w:eastAsia="仿宋_GB2312"/>
          <w:szCs w:val="21"/>
        </w:rPr>
      </w:pPr>
      <w:r>
        <w:rPr>
          <w:rFonts w:hint="eastAsia" w:ascii="黑体" w:hAnsi="宋体" w:eastAsia="黑体"/>
          <w:szCs w:val="21"/>
        </w:rPr>
        <w:t>4.</w:t>
      </w:r>
      <w:r>
        <w:rPr>
          <w:rFonts w:hint="eastAsia" w:ascii="仿宋_GB2312" w:hAnsi="宋体" w:eastAsia="仿宋_GB2312"/>
          <w:szCs w:val="21"/>
        </w:rPr>
        <w:t>政府采购合同条款；</w:t>
      </w:r>
    </w:p>
    <w:p>
      <w:pPr>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5</w:t>
      </w:r>
      <w:r>
        <w:rPr>
          <w:rFonts w:hint="eastAsia" w:ascii="黑体" w:hAnsi="宋体" w:eastAsia="黑体"/>
          <w:szCs w:val="21"/>
        </w:rPr>
        <w:t>.</w:t>
      </w:r>
      <w:r>
        <w:rPr>
          <w:rFonts w:hint="eastAsia" w:ascii="仿宋_GB2312" w:hAnsi="宋体" w:eastAsia="仿宋_GB2312"/>
          <w:szCs w:val="21"/>
        </w:rPr>
        <w:t>中标通知书；</w:t>
      </w:r>
    </w:p>
    <w:p>
      <w:pPr>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6</w:t>
      </w:r>
      <w:r>
        <w:rPr>
          <w:rFonts w:hint="eastAsia" w:ascii="黑体" w:hAnsi="宋体" w:eastAsia="黑体"/>
          <w:szCs w:val="21"/>
        </w:rPr>
        <w:t>.</w:t>
      </w:r>
      <w:r>
        <w:rPr>
          <w:rFonts w:hint="eastAsia" w:ascii="仿宋_GB2312" w:hAnsi="宋体" w:eastAsia="仿宋_GB2312" w:cs="Arial"/>
          <w:szCs w:val="21"/>
        </w:rPr>
        <w:t>政府采购合同的其它附件。</w:t>
      </w:r>
    </w:p>
    <w:p>
      <w:pPr>
        <w:adjustRightInd w:val="0"/>
        <w:snapToGrid w:val="0"/>
        <w:spacing w:line="360" w:lineRule="auto"/>
        <w:jc w:val="left"/>
        <w:rPr>
          <w:rFonts w:ascii="黑体" w:hAnsi="宋体" w:eastAsia="黑体"/>
          <w:b/>
          <w:szCs w:val="21"/>
        </w:rPr>
      </w:pPr>
      <w:r>
        <w:rPr>
          <w:rFonts w:hint="eastAsia" w:ascii="黑体" w:hAnsi="宋体" w:eastAsia="黑体"/>
          <w:b/>
          <w:szCs w:val="21"/>
        </w:rPr>
        <w:t>　　</w:t>
      </w:r>
      <w:bookmarkStart w:id="219" w:name="_Toc19527_WPSOffice_Level2"/>
      <w:r>
        <w:rPr>
          <w:rFonts w:hint="eastAsia" w:ascii="黑体" w:hAnsi="宋体" w:eastAsia="黑体"/>
          <w:b/>
          <w:szCs w:val="21"/>
        </w:rPr>
        <w:t>二、政府采购合同范围和条件</w:t>
      </w:r>
      <w:bookmarkEnd w:id="219"/>
    </w:p>
    <w:p>
      <w:pPr>
        <w:adjustRightInd w:val="0"/>
        <w:snapToGrid w:val="0"/>
        <w:spacing w:line="360" w:lineRule="auto"/>
        <w:jc w:val="left"/>
        <w:rPr>
          <w:rFonts w:ascii="仿宋_GB2312" w:hAnsi="宋体" w:eastAsia="仿宋_GB2312"/>
          <w:szCs w:val="21"/>
        </w:rPr>
      </w:pPr>
      <w:r>
        <w:rPr>
          <w:rFonts w:hint="eastAsia" w:ascii="仿宋_GB2312" w:hAnsi="宋体" w:eastAsia="仿宋_GB2312"/>
          <w:szCs w:val="21"/>
        </w:rPr>
        <w:t xml:space="preserve">    本政府采购合同的范围和条件与上述政府采购合同文件的规定相一致。</w:t>
      </w:r>
    </w:p>
    <w:p>
      <w:pPr>
        <w:adjustRightInd w:val="0"/>
        <w:snapToGrid w:val="0"/>
        <w:spacing w:line="360" w:lineRule="auto"/>
        <w:jc w:val="left"/>
        <w:rPr>
          <w:rFonts w:ascii="黑体" w:hAnsi="宋体" w:eastAsia="黑体"/>
          <w:b/>
          <w:szCs w:val="21"/>
        </w:rPr>
      </w:pPr>
      <w:r>
        <w:rPr>
          <w:rFonts w:hint="eastAsia" w:ascii="黑体" w:hAnsi="宋体" w:eastAsia="黑体"/>
          <w:b/>
          <w:szCs w:val="21"/>
        </w:rPr>
        <w:t>　　</w:t>
      </w:r>
      <w:bookmarkStart w:id="220" w:name="_Toc18050_WPSOffice_Level2"/>
      <w:r>
        <w:rPr>
          <w:rFonts w:hint="eastAsia" w:ascii="黑体" w:hAnsi="宋体" w:eastAsia="黑体"/>
          <w:b/>
          <w:szCs w:val="21"/>
        </w:rPr>
        <w:t>三、政府采购合同标的</w:t>
      </w:r>
      <w:bookmarkEnd w:id="220"/>
    </w:p>
    <w:p>
      <w:pPr>
        <w:adjustRightInd w:val="0"/>
        <w:snapToGrid w:val="0"/>
        <w:spacing w:line="360" w:lineRule="auto"/>
        <w:jc w:val="left"/>
        <w:rPr>
          <w:rFonts w:hint="eastAsia" w:ascii="仿宋_GB2312" w:hAnsi="宋体" w:eastAsia="仿宋_GB2312"/>
          <w:szCs w:val="21"/>
        </w:rPr>
      </w:pPr>
      <w:r>
        <w:rPr>
          <w:rFonts w:hint="eastAsia" w:ascii="仿宋_GB2312" w:hAnsi="宋体" w:eastAsia="仿宋_GB2312"/>
          <w:szCs w:val="21"/>
        </w:rPr>
        <w:t xml:space="preserve">    </w:t>
      </w:r>
      <w:r>
        <w:rPr>
          <w:rFonts w:hint="eastAsia" w:ascii="仿宋_GB2312" w:hAnsi="仿宋_GB2312" w:eastAsia="仿宋_GB2312" w:cs="仿宋_GB2312"/>
          <w:szCs w:val="21"/>
        </w:rPr>
        <w:t>本政府采购合同的标的为招标文件中所列货物及相关服务。</w:t>
      </w:r>
    </w:p>
    <w:p>
      <w:pPr>
        <w:adjustRightInd w:val="0"/>
        <w:snapToGrid w:val="0"/>
        <w:spacing w:line="360" w:lineRule="auto"/>
        <w:jc w:val="left"/>
        <w:rPr>
          <w:rFonts w:ascii="黑体" w:hAnsi="宋体" w:eastAsia="黑体"/>
          <w:b/>
          <w:szCs w:val="21"/>
        </w:rPr>
      </w:pPr>
      <w:r>
        <w:rPr>
          <w:rFonts w:hint="eastAsia" w:ascii="黑体" w:hAnsi="宋体" w:eastAsia="黑体"/>
          <w:b/>
          <w:szCs w:val="21"/>
        </w:rPr>
        <w:t>　　</w:t>
      </w:r>
      <w:bookmarkStart w:id="221" w:name="_Toc27886_WPSOffice_Level2"/>
      <w:r>
        <w:rPr>
          <w:rFonts w:hint="eastAsia" w:ascii="黑体" w:hAnsi="宋体" w:eastAsia="黑体"/>
          <w:b/>
          <w:szCs w:val="21"/>
        </w:rPr>
        <w:t>四、政府采购合同金额</w:t>
      </w:r>
      <w:bookmarkEnd w:id="221"/>
    </w:p>
    <w:p>
      <w:pPr>
        <w:adjustRightInd w:val="0"/>
        <w:snapToGrid w:val="0"/>
        <w:spacing w:line="360" w:lineRule="auto"/>
        <w:jc w:val="left"/>
        <w:rPr>
          <w:rFonts w:ascii="仿宋_GB2312" w:hAnsi="宋体" w:eastAsia="仿宋_GB2312"/>
          <w:szCs w:val="21"/>
        </w:rPr>
      </w:pPr>
      <w:r>
        <w:rPr>
          <w:rFonts w:hint="eastAsia" w:ascii="仿宋_GB2312" w:hAnsi="宋体" w:eastAsia="仿宋_GB2312"/>
          <w:szCs w:val="21"/>
        </w:rPr>
        <w:t xml:space="preserve">    根据上述政府采购合同文件要求，政府采购合同的总金额为人民币</w:t>
      </w:r>
      <w:r>
        <w:rPr>
          <w:rFonts w:hint="eastAsia" w:ascii="仿宋_GB2312" w:hAnsi="宋体" w:eastAsia="仿宋_GB2312"/>
          <w:szCs w:val="21"/>
          <w:u w:val="single"/>
        </w:rPr>
        <w:t xml:space="preserve">  （大写）                </w:t>
      </w:r>
      <w:r>
        <w:rPr>
          <w:rFonts w:hint="eastAsia" w:ascii="仿宋_GB2312" w:hAnsi="宋体" w:eastAsia="仿宋_GB2312"/>
          <w:szCs w:val="21"/>
        </w:rPr>
        <w:t xml:space="preserve"> 元。</w:t>
      </w:r>
    </w:p>
    <w:p>
      <w:pPr>
        <w:adjustRightInd w:val="0"/>
        <w:snapToGrid w:val="0"/>
        <w:spacing w:line="360" w:lineRule="auto"/>
        <w:jc w:val="left"/>
        <w:rPr>
          <w:rFonts w:ascii="仿宋_GB2312" w:hAnsi="宋体" w:eastAsia="仿宋_GB2312"/>
          <w:szCs w:val="21"/>
        </w:rPr>
      </w:pPr>
      <w:r>
        <w:rPr>
          <w:rFonts w:hint="eastAsia" w:ascii="仿宋_GB2312" w:hAnsi="宋体" w:eastAsia="仿宋_GB2312"/>
          <w:szCs w:val="21"/>
        </w:rPr>
        <w:t xml:space="preserve">    注：存在分项产品的必须清晰列明分项产品明细，包括名称、数量、分项报价等，并作为合同组成部分。</w:t>
      </w:r>
    </w:p>
    <w:p>
      <w:pPr>
        <w:adjustRightInd w:val="0"/>
        <w:snapToGrid w:val="0"/>
        <w:spacing w:line="360" w:lineRule="auto"/>
        <w:jc w:val="left"/>
        <w:rPr>
          <w:rFonts w:ascii="黑体" w:hAnsi="宋体" w:eastAsia="黑体"/>
          <w:b/>
          <w:szCs w:val="21"/>
        </w:rPr>
      </w:pPr>
      <w:r>
        <w:rPr>
          <w:rFonts w:hint="eastAsia" w:ascii="黑体" w:hAnsi="宋体" w:eastAsia="黑体"/>
          <w:b/>
          <w:szCs w:val="21"/>
        </w:rPr>
        <w:t>　　</w:t>
      </w:r>
      <w:bookmarkStart w:id="222" w:name="_Toc22211_WPSOffice_Level2"/>
      <w:r>
        <w:rPr>
          <w:rFonts w:hint="eastAsia" w:ascii="黑体" w:hAnsi="宋体" w:eastAsia="黑体"/>
          <w:b/>
          <w:szCs w:val="21"/>
        </w:rPr>
        <w:t>五、付款方式及条件</w:t>
      </w:r>
      <w:bookmarkEnd w:id="222"/>
    </w:p>
    <w:p>
      <w:pPr>
        <w:adjustRightInd w:val="0"/>
        <w:snapToGrid w:val="0"/>
        <w:spacing w:line="360" w:lineRule="auto"/>
        <w:jc w:val="left"/>
        <w:rPr>
          <w:rFonts w:hint="eastAsia" w:ascii="黑体" w:hAnsi="宋体" w:eastAsia="黑体"/>
          <w:b/>
          <w:szCs w:val="21"/>
        </w:rPr>
      </w:pPr>
    </w:p>
    <w:p>
      <w:pPr>
        <w:adjustRightInd w:val="0"/>
        <w:snapToGrid w:val="0"/>
        <w:spacing w:line="360" w:lineRule="auto"/>
        <w:jc w:val="left"/>
        <w:rPr>
          <w:rFonts w:ascii="仿宋_GB2312" w:hAnsi="宋体" w:eastAsia="仿宋_GB2312"/>
          <w:szCs w:val="21"/>
        </w:rPr>
      </w:pPr>
      <w:r>
        <w:rPr>
          <w:rFonts w:hint="eastAsia" w:ascii="黑体" w:hAnsi="宋体" w:eastAsia="黑体"/>
          <w:b/>
          <w:szCs w:val="21"/>
        </w:rPr>
        <w:t>　　</w:t>
      </w:r>
      <w:bookmarkStart w:id="223" w:name="_Toc27813_WPSOffice_Level2"/>
      <w:r>
        <w:rPr>
          <w:rFonts w:hint="eastAsia" w:ascii="黑体" w:hAnsi="宋体" w:eastAsia="黑体"/>
          <w:b/>
          <w:szCs w:val="21"/>
        </w:rPr>
        <w:t>六、交货时间和交货地点</w:t>
      </w:r>
      <w:bookmarkEnd w:id="223"/>
    </w:p>
    <w:p>
      <w:pPr>
        <w:adjustRightInd w:val="0"/>
        <w:snapToGrid w:val="0"/>
        <w:spacing w:line="360" w:lineRule="auto"/>
        <w:jc w:val="left"/>
        <w:rPr>
          <w:rFonts w:ascii="仿宋_GB2312" w:hAnsi="宋体" w:eastAsia="仿宋_GB2312"/>
          <w:szCs w:val="21"/>
          <w:u w:val="single"/>
        </w:rPr>
      </w:pPr>
      <w:r>
        <w:rPr>
          <w:rFonts w:hint="eastAsia" w:ascii="仿宋_GB2312" w:hAnsi="宋体" w:eastAsia="仿宋_GB2312"/>
          <w:szCs w:val="21"/>
        </w:rPr>
        <w:t xml:space="preserve">    1.交货时间：</w:t>
      </w:r>
    </w:p>
    <w:p>
      <w:pPr>
        <w:adjustRightInd w:val="0"/>
        <w:snapToGrid w:val="0"/>
        <w:spacing w:line="360" w:lineRule="auto"/>
        <w:jc w:val="left"/>
        <w:rPr>
          <w:rFonts w:ascii="仿宋_GB2312" w:hAnsi="宋体" w:eastAsia="仿宋_GB2312"/>
          <w:szCs w:val="21"/>
          <w:u w:val="single"/>
        </w:rPr>
      </w:pPr>
      <w:r>
        <w:rPr>
          <w:rFonts w:hint="eastAsia" w:ascii="仿宋_GB2312" w:hAnsi="宋体" w:eastAsia="仿宋_GB2312"/>
          <w:szCs w:val="21"/>
        </w:rPr>
        <w:t xml:space="preserve">    2.交货地点：</w:t>
      </w:r>
    </w:p>
    <w:p>
      <w:pPr>
        <w:adjustRightInd w:val="0"/>
        <w:snapToGrid w:val="0"/>
        <w:spacing w:line="360" w:lineRule="auto"/>
        <w:jc w:val="left"/>
        <w:rPr>
          <w:rFonts w:ascii="黑体" w:hAnsi="宋体" w:eastAsia="黑体"/>
          <w:b/>
          <w:szCs w:val="21"/>
        </w:rPr>
      </w:pPr>
      <w:r>
        <w:rPr>
          <w:rFonts w:hint="eastAsia" w:ascii="黑体" w:hAnsi="宋体" w:eastAsia="黑体"/>
          <w:b/>
          <w:szCs w:val="21"/>
        </w:rPr>
        <w:t>　　</w:t>
      </w:r>
      <w:bookmarkStart w:id="224" w:name="_Toc12497_WPSOffice_Level2"/>
      <w:r>
        <w:rPr>
          <w:rFonts w:hint="eastAsia" w:ascii="黑体" w:hAnsi="宋体" w:eastAsia="黑体"/>
          <w:b/>
          <w:szCs w:val="21"/>
        </w:rPr>
        <w:t>七、验收要求</w:t>
      </w:r>
      <w:bookmarkEnd w:id="224"/>
    </w:p>
    <w:p>
      <w:pPr>
        <w:adjustRightInd w:val="0"/>
        <w:snapToGrid w:val="0"/>
        <w:spacing w:line="360" w:lineRule="auto"/>
        <w:jc w:val="left"/>
        <w:rPr>
          <w:rFonts w:ascii="仿宋_GB2312" w:hAnsi="宋体" w:eastAsia="仿宋_GB2312"/>
          <w:szCs w:val="21"/>
          <w:u w:val="single"/>
        </w:rPr>
      </w:pPr>
      <w:r>
        <w:rPr>
          <w:rFonts w:hint="eastAsia" w:ascii="仿宋_GB2312" w:hAnsi="宋体" w:eastAsia="仿宋_GB2312"/>
          <w:szCs w:val="21"/>
        </w:rPr>
        <w:t>供方完全履行合同义务后，需方或需方的最终用户按照上述政府采购合同文件列明的标准进行验收，验收不合格的，供方需按照第八条第2款的约定承担相应违约责任。</w:t>
      </w:r>
    </w:p>
    <w:p>
      <w:pPr>
        <w:adjustRightInd w:val="0"/>
        <w:snapToGrid w:val="0"/>
        <w:spacing w:line="360" w:lineRule="auto"/>
        <w:jc w:val="left"/>
        <w:rPr>
          <w:rFonts w:ascii="黑体" w:hAnsi="宋体" w:eastAsia="黑体"/>
          <w:b/>
          <w:szCs w:val="21"/>
        </w:rPr>
      </w:pPr>
      <w:bookmarkStart w:id="225" w:name="_Toc4868_WPSOffice_Level2"/>
      <w:r>
        <w:rPr>
          <w:rFonts w:hint="eastAsia" w:ascii="黑体" w:hAnsi="宋体" w:eastAsia="黑体"/>
          <w:b/>
          <w:szCs w:val="21"/>
        </w:rPr>
        <w:t>八、违约责任</w:t>
      </w:r>
      <w:bookmarkEnd w:id="225"/>
    </w:p>
    <w:p>
      <w:pPr>
        <w:adjustRightInd w:val="0"/>
        <w:snapToGrid w:val="0"/>
        <w:spacing w:line="360" w:lineRule="auto"/>
        <w:jc w:val="left"/>
        <w:rPr>
          <w:rFonts w:ascii="仿宋_GB2312" w:hAnsi="宋体" w:eastAsia="仿宋_GB2312"/>
          <w:szCs w:val="21"/>
        </w:rPr>
      </w:pPr>
      <w:r>
        <w:rPr>
          <w:rFonts w:hint="eastAsia" w:ascii="仿宋_GB2312" w:hAnsi="宋体" w:eastAsia="仿宋_GB2312"/>
          <w:szCs w:val="21"/>
        </w:rPr>
        <w:t xml:space="preserve">    1.供方逾期供货的，每逾期一天向需方支付逾期供货金额%的违约金，逾期日的，需方有权单方面解除本协议。</w:t>
      </w:r>
    </w:p>
    <w:p>
      <w:pPr>
        <w:adjustRightInd w:val="0"/>
        <w:snapToGrid w:val="0"/>
        <w:spacing w:line="360" w:lineRule="auto"/>
        <w:jc w:val="left"/>
        <w:rPr>
          <w:rFonts w:ascii="仿宋_GB2312" w:hAnsi="宋体" w:eastAsia="仿宋_GB2312"/>
          <w:szCs w:val="21"/>
        </w:rPr>
      </w:pPr>
      <w:r>
        <w:rPr>
          <w:rFonts w:hint="eastAsia" w:ascii="仿宋_GB2312" w:hAnsi="宋体" w:eastAsia="仿宋_GB2312"/>
          <w:szCs w:val="21"/>
        </w:rPr>
        <w:t xml:space="preserve">    2.供方交付的货物不符合约定的，供方无条件更换符合约定的货物，并按照最终提供合格货物的日期遵照前款承担违约责任，更换一次货物后仍不符合约定的，需方有权单方面解除本协议。</w:t>
      </w:r>
    </w:p>
    <w:p>
      <w:pPr>
        <w:adjustRightInd w:val="0"/>
        <w:snapToGrid w:val="0"/>
        <w:spacing w:line="360" w:lineRule="auto"/>
        <w:jc w:val="left"/>
        <w:rPr>
          <w:rFonts w:ascii="仿宋_GB2312" w:hAnsi="宋体" w:eastAsia="仿宋_GB2312"/>
          <w:szCs w:val="21"/>
        </w:rPr>
      </w:pPr>
      <w:r>
        <w:rPr>
          <w:rFonts w:hint="eastAsia" w:ascii="仿宋_GB2312" w:hAnsi="宋体" w:eastAsia="仿宋_GB2312"/>
          <w:szCs w:val="21"/>
        </w:rPr>
        <w:t xml:space="preserve">    3.需方逾期付款的，每逾期一天向供方支付逾期金额%的违约金，逾期日的，供方有权单方面解除本协议。</w:t>
      </w:r>
    </w:p>
    <w:p>
      <w:pPr>
        <w:adjustRightInd w:val="0"/>
        <w:snapToGrid w:val="0"/>
        <w:spacing w:line="360" w:lineRule="auto"/>
        <w:jc w:val="left"/>
        <w:rPr>
          <w:rFonts w:ascii="黑体" w:hAnsi="宋体" w:eastAsia="黑体"/>
          <w:b/>
          <w:szCs w:val="21"/>
        </w:rPr>
      </w:pPr>
      <w:bookmarkStart w:id="226" w:name="_Toc24496_WPSOffice_Level2"/>
      <w:r>
        <w:rPr>
          <w:rFonts w:hint="eastAsia" w:ascii="黑体" w:hAnsi="宋体" w:eastAsia="黑体"/>
          <w:b/>
          <w:szCs w:val="21"/>
        </w:rPr>
        <w:t>九、争议解决</w:t>
      </w:r>
      <w:bookmarkEnd w:id="226"/>
    </w:p>
    <w:p>
      <w:pPr>
        <w:adjustRightInd w:val="0"/>
        <w:snapToGrid w:val="0"/>
        <w:spacing w:line="360" w:lineRule="auto"/>
        <w:jc w:val="left"/>
        <w:rPr>
          <w:rFonts w:ascii="黑体" w:hAnsi="宋体" w:eastAsia="黑体"/>
          <w:b/>
          <w:szCs w:val="21"/>
        </w:rPr>
      </w:pPr>
      <w:r>
        <w:rPr>
          <w:rFonts w:hint="eastAsia" w:ascii="仿宋_GB2312" w:hAnsi="宋体" w:eastAsia="仿宋_GB2312"/>
          <w:szCs w:val="21"/>
        </w:rPr>
        <w:t xml:space="preserve">    双方因履行本协议而产生的争议，应友好协商解决，协商不成的，任何一方可向需方所在地的人民法院提起诉讼。</w:t>
      </w:r>
    </w:p>
    <w:p>
      <w:pPr>
        <w:adjustRightInd w:val="0"/>
        <w:snapToGrid w:val="0"/>
        <w:spacing w:line="360" w:lineRule="auto"/>
        <w:jc w:val="left"/>
        <w:rPr>
          <w:rFonts w:ascii="黑体" w:hAnsi="宋体" w:eastAsia="黑体"/>
          <w:b/>
          <w:szCs w:val="21"/>
        </w:rPr>
      </w:pPr>
      <w:bookmarkStart w:id="227" w:name="_Toc24974_WPSOffice_Level2"/>
      <w:r>
        <w:rPr>
          <w:rFonts w:hint="eastAsia" w:ascii="黑体" w:hAnsi="宋体" w:eastAsia="黑体"/>
          <w:b/>
          <w:szCs w:val="21"/>
        </w:rPr>
        <w:t>十、合同生效</w:t>
      </w:r>
      <w:bookmarkEnd w:id="227"/>
    </w:p>
    <w:p>
      <w:pPr>
        <w:adjustRightInd w:val="0"/>
        <w:snapToGrid w:val="0"/>
        <w:spacing w:line="360" w:lineRule="auto"/>
        <w:jc w:val="left"/>
        <w:rPr>
          <w:rFonts w:ascii="仿宋_GB2312" w:hAnsi="宋体" w:eastAsia="仿宋_GB2312"/>
          <w:szCs w:val="21"/>
        </w:rPr>
      </w:pPr>
      <w:r>
        <w:rPr>
          <w:rFonts w:hint="eastAsia" w:ascii="仿宋_GB2312" w:hAnsi="宋体" w:eastAsia="仿宋_GB2312"/>
          <w:szCs w:val="21"/>
        </w:rPr>
        <w:t xml:space="preserve">    本政府采购合同经双方授权代表签字盖章后生效。</w:t>
      </w:r>
    </w:p>
    <w:p>
      <w:pPr>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需方（公章）:                       供方(公章):</w:t>
      </w:r>
    </w:p>
    <w:p>
      <w:pPr>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法定代表人或授权代表人(签字):         法定代表人或授权代表人(签字):</w:t>
      </w:r>
    </w:p>
    <w:p>
      <w:pPr>
        <w:adjustRightInd w:val="0"/>
        <w:snapToGrid w:val="0"/>
        <w:spacing w:line="360" w:lineRule="auto"/>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地址：      地址：</w:t>
      </w:r>
    </w:p>
    <w:p>
      <w:pPr>
        <w:adjustRightInd w:val="0"/>
        <w:snapToGrid w:val="0"/>
        <w:spacing w:line="360" w:lineRule="auto"/>
        <w:ind w:firstLine="420" w:firstLineChars="200"/>
        <w:rPr>
          <w:rFonts w:ascii="仿宋_GB2312" w:hAnsi="Lucida Sans Unicode" w:eastAsia="仿宋_GB2312" w:cs="Lucida Sans Unicode"/>
          <w:szCs w:val="21"/>
        </w:rPr>
      </w:pPr>
      <w:r>
        <w:rPr>
          <w:rFonts w:hint="eastAsia" w:ascii="仿宋_GB2312" w:hAnsi="Lucida Sans Unicode" w:eastAsia="仿宋_GB2312" w:cs="Lucida Sans Unicode"/>
          <w:szCs w:val="21"/>
        </w:rPr>
        <w:t>联系人：      联系人：</w:t>
      </w:r>
    </w:p>
    <w:p>
      <w:pPr>
        <w:adjustRightInd w:val="0"/>
        <w:snapToGrid w:val="0"/>
        <w:spacing w:line="360" w:lineRule="auto"/>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电话：      电话：</w:t>
      </w:r>
    </w:p>
    <w:p>
      <w:pPr>
        <w:adjustRightInd w:val="0"/>
        <w:snapToGrid w:val="0"/>
        <w:spacing w:line="360" w:lineRule="auto"/>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传真：      传真：</w:t>
      </w:r>
    </w:p>
    <w:p>
      <w:pPr>
        <w:adjustRightInd w:val="0"/>
        <w:snapToGrid w:val="0"/>
        <w:spacing w:line="360" w:lineRule="auto"/>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邮编：      邮编：</w:t>
      </w:r>
    </w:p>
    <w:p>
      <w:pPr>
        <w:adjustRightInd w:val="0"/>
        <w:snapToGrid w:val="0"/>
        <w:spacing w:line="360" w:lineRule="auto"/>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日期：</w:t>
      </w:r>
      <w:r>
        <w:rPr>
          <w:rFonts w:hint="eastAsia" w:ascii="仿宋_GB2312" w:hAnsi="Lucida Sans Unicode" w:eastAsia="仿宋_GB2312" w:cs="Lucida Sans Unicode"/>
          <w:szCs w:val="21"/>
          <w:u w:val="single"/>
        </w:rPr>
        <w:t xml:space="preserve">      年      月      日</w:t>
      </w:r>
      <w:r>
        <w:rPr>
          <w:rFonts w:hint="eastAsia" w:ascii="仿宋_GB2312" w:hAnsi="Lucida Sans Unicode" w:eastAsia="仿宋_GB2312" w:cs="Lucida Sans Unicode"/>
          <w:szCs w:val="21"/>
        </w:rPr>
        <w:t xml:space="preserve">      日期：</w:t>
      </w:r>
      <w:r>
        <w:rPr>
          <w:rFonts w:hint="eastAsia" w:ascii="仿宋_GB2312" w:hAnsi="Lucida Sans Unicode" w:eastAsia="仿宋_GB2312" w:cs="Lucida Sans Unicode"/>
          <w:szCs w:val="21"/>
          <w:u w:val="single"/>
        </w:rPr>
        <w:t xml:space="preserve">       年      月     日</w:t>
      </w:r>
    </w:p>
    <w:p>
      <w:pPr>
        <w:widowControl/>
        <w:jc w:val="left"/>
        <w:rPr>
          <w:rFonts w:ascii="仿宋_GB2312" w:hAnsi="仿宋_GB2312" w:eastAsia="仿宋_GB2312" w:cs="仿宋_GB2312"/>
          <w:b/>
          <w:sz w:val="28"/>
          <w:szCs w:val="28"/>
        </w:rPr>
      </w:pPr>
    </w:p>
    <w:bookmarkEnd w:id="144"/>
    <w:p>
      <w:pPr>
        <w:wordWrap w:val="0"/>
        <w:adjustRightInd w:val="0"/>
        <w:snapToGrid w:val="0"/>
        <w:spacing w:line="360" w:lineRule="auto"/>
        <w:jc w:val="right"/>
        <w:rPr>
          <w:rFonts w:ascii="仿宋_GB2312" w:hAnsi="仿宋_GB2312" w:eastAsia="仿宋_GB2312" w:cs="仿宋_GB2312"/>
          <w:szCs w:val="21"/>
        </w:rPr>
      </w:pPr>
    </w:p>
    <w:p>
      <w:pPr>
        <w:wordWrap w:val="0"/>
        <w:adjustRightInd w:val="0"/>
        <w:snapToGrid w:val="0"/>
        <w:spacing w:line="360" w:lineRule="auto"/>
        <w:jc w:val="right"/>
        <w:rPr>
          <w:rFonts w:ascii="仿宋_GB2312" w:hAnsi="仿宋_GB2312" w:eastAsia="仿宋_GB2312" w:cs="仿宋_GB2312"/>
          <w:szCs w:val="21"/>
        </w:rPr>
      </w:pPr>
    </w:p>
    <w:sectPr>
      <w:footerReference r:id="rId5" w:type="default"/>
      <w:pgSz w:w="11906" w:h="16838"/>
      <w:pgMar w:top="1440" w:right="1803" w:bottom="1440" w:left="1803" w:header="851" w:footer="992" w:gutter="0"/>
      <w:cols w:space="72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decorative"/>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6350">
                        <a:noFill/>
                      </a:ln>
                      <a:effectLst/>
                    </wps:spPr>
                    <wps:txbx>
                      <w:txbxContent>
                        <w:p>
                          <w:pPr>
                            <w:pStyle w:val="13"/>
                            <w:rPr>
                              <w:rFonts w:eastAsia="宋体"/>
                            </w:rPr>
                          </w:pPr>
                          <w:r>
                            <w:rPr>
                              <w:rFonts w:hint="eastAsia"/>
                            </w:rPr>
                            <w:fldChar w:fldCharType="begin"/>
                          </w:r>
                          <w:r>
                            <w:rPr>
                              <w:rFonts w:hint="eastAsia"/>
                            </w:rPr>
                            <w:instrText xml:space="preserve"> PAGE  \* MERGEFORMAT </w:instrText>
                          </w:r>
                          <w:r>
                            <w:rPr>
                              <w:rFonts w:hint="eastAsia"/>
                            </w:rPr>
                            <w:fldChar w:fldCharType="separate"/>
                          </w:r>
                          <w:r>
                            <w:t>59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gF4ko0gAAAAMBAAAPAAAAAAAAAAEAIAAAACIAAABkcnMvZG93bnJldi54bWxQ&#10;SwECFAAUAAAACACHTuJABZIhijYCAABhBAAADgAAAAAAAAABACAAAAAhAQAAZHJzL2Uyb0RvYy54&#10;bWxQSwUGAAAAAAYABgBZAQAAyQUAAAAA&#10;">
              <v:fill on="f" focussize="0,0"/>
              <v:stroke on="f" weight="0.5pt"/>
              <v:imagedata o:title=""/>
              <o:lock v:ext="edit" aspectratio="f"/>
              <v:textbox inset="0mm,0mm,0mm,0mm" style="mso-fit-shape-to-text:t;">
                <w:txbxContent>
                  <w:p>
                    <w:pPr>
                      <w:pStyle w:val="13"/>
                      <w:rPr>
                        <w:rFonts w:eastAsia="宋体"/>
                      </w:rPr>
                    </w:pPr>
                    <w:r>
                      <w:rPr>
                        <w:rFonts w:hint="eastAsia"/>
                      </w:rPr>
                      <w:fldChar w:fldCharType="begin"/>
                    </w:r>
                    <w:r>
                      <w:rPr>
                        <w:rFonts w:hint="eastAsia"/>
                      </w:rPr>
                      <w:instrText xml:space="preserve"> PAGE  \* MERGEFORMAT </w:instrText>
                    </w:r>
                    <w:r>
                      <w:rPr>
                        <w:rFonts w:hint="eastAsia"/>
                      </w:rPr>
                      <w:fldChar w:fldCharType="separate"/>
                    </w:r>
                    <w:r>
                      <w:t>59</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2</w:t>
    </w:r>
    <w:r>
      <w:fldChar w:fldCharType="end"/>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800A4"/>
    <w:multiLevelType w:val="singleLevel"/>
    <w:tmpl w:val="8D7800A4"/>
    <w:lvl w:ilvl="0" w:tentative="0">
      <w:start w:val="1"/>
      <w:numFmt w:val="chineseCounting"/>
      <w:suff w:val="space"/>
      <w:lvlText w:val="第%1章"/>
      <w:lvlJc w:val="left"/>
      <w:rPr>
        <w:rFonts w:hint="eastAsia"/>
      </w:rPr>
    </w:lvl>
  </w:abstractNum>
  <w:abstractNum w:abstractNumId="1">
    <w:nsid w:val="B4FDF470"/>
    <w:multiLevelType w:val="singleLevel"/>
    <w:tmpl w:val="B4FDF470"/>
    <w:lvl w:ilvl="0" w:tentative="0">
      <w:start w:val="1"/>
      <w:numFmt w:val="decimal"/>
      <w:suff w:val="nothing"/>
      <w:lvlText w:val="（%1）"/>
      <w:lvlJc w:val="left"/>
    </w:lvl>
  </w:abstractNum>
  <w:abstractNum w:abstractNumId="2">
    <w:nsid w:val="B9A1E8D1"/>
    <w:multiLevelType w:val="singleLevel"/>
    <w:tmpl w:val="B9A1E8D1"/>
    <w:lvl w:ilvl="0" w:tentative="0">
      <w:start w:val="1"/>
      <w:numFmt w:val="decimal"/>
      <w:suff w:val="nothing"/>
      <w:lvlText w:val="（%1）"/>
      <w:lvlJc w:val="left"/>
    </w:lvl>
  </w:abstractNum>
  <w:abstractNum w:abstractNumId="3">
    <w:nsid w:val="27E8E525"/>
    <w:multiLevelType w:val="singleLevel"/>
    <w:tmpl w:val="27E8E525"/>
    <w:lvl w:ilvl="0" w:tentative="0">
      <w:start w:val="1"/>
      <w:numFmt w:val="decimal"/>
      <w:suff w:val="nothing"/>
      <w:lvlText w:val="（%1）"/>
      <w:lvlJc w:val="left"/>
    </w:lvl>
  </w:abstractNum>
  <w:abstractNum w:abstractNumId="4">
    <w:nsid w:val="3EDAF597"/>
    <w:multiLevelType w:val="singleLevel"/>
    <w:tmpl w:val="3EDAF597"/>
    <w:lvl w:ilvl="0" w:tentative="0">
      <w:start w:val="8"/>
      <w:numFmt w:val="chineseCounting"/>
      <w:suff w:val="nothing"/>
      <w:lvlText w:val="%1、"/>
      <w:lvlJc w:val="left"/>
      <w:rPr>
        <w:rFonts w:hint="eastAsia"/>
      </w:rPr>
    </w:lvl>
  </w:abstractNum>
  <w:abstractNum w:abstractNumId="5">
    <w:nsid w:val="420C153B"/>
    <w:multiLevelType w:val="multilevel"/>
    <w:tmpl w:val="420C153B"/>
    <w:lvl w:ilvl="0" w:tentative="0">
      <w:start w:val="1"/>
      <w:numFmt w:val="decimal"/>
      <w:pStyle w:val="5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6A952FC1"/>
    <w:multiLevelType w:val="multilevel"/>
    <w:tmpl w:val="6A952FC1"/>
    <w:lvl w:ilvl="0" w:tentative="0">
      <w:start w:val="1"/>
      <w:numFmt w:val="decimalEnclosedCircle"/>
      <w:lvlText w:val="%1"/>
      <w:lvlJc w:val="left"/>
      <w:pPr>
        <w:ind w:left="780" w:hanging="360"/>
      </w:pPr>
      <w:rPr>
        <w:rFonts w:hint="default" w:hAnsi="Calibri"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B4156D0"/>
    <w:multiLevelType w:val="singleLevel"/>
    <w:tmpl w:val="7B4156D0"/>
    <w:lvl w:ilvl="0" w:tentative="0">
      <w:start w:val="1"/>
      <w:numFmt w:val="decimal"/>
      <w:suff w:val="nothing"/>
      <w:lvlText w:val="（%1）"/>
      <w:lvlJc w:val="left"/>
    </w:lvl>
  </w:abstractNum>
  <w:num w:numId="1">
    <w:abstractNumId w:val="5"/>
  </w:num>
  <w:num w:numId="2">
    <w:abstractNumId w:val="4"/>
  </w:num>
  <w:num w:numId="3">
    <w:abstractNumId w:val="0"/>
  </w:num>
  <w:num w:numId="4">
    <w:abstractNumId w:val="2"/>
  </w:num>
  <w:num w:numId="5">
    <w:abstractNumId w:val="6"/>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iYTc3YjRjMjgwMGY3NzMxMmNhMzBmODA5MzZhNmIifQ=="/>
  </w:docVars>
  <w:rsids>
    <w:rsidRoot w:val="35AB3B2B"/>
    <w:rsid w:val="00001D20"/>
    <w:rsid w:val="0000641B"/>
    <w:rsid w:val="00007440"/>
    <w:rsid w:val="00017AF4"/>
    <w:rsid w:val="00024251"/>
    <w:rsid w:val="000341B1"/>
    <w:rsid w:val="00051172"/>
    <w:rsid w:val="00056F1E"/>
    <w:rsid w:val="000577D5"/>
    <w:rsid w:val="00062FCE"/>
    <w:rsid w:val="000730A7"/>
    <w:rsid w:val="00080F44"/>
    <w:rsid w:val="00084D3F"/>
    <w:rsid w:val="00092BC6"/>
    <w:rsid w:val="000A696E"/>
    <w:rsid w:val="000B6FF4"/>
    <w:rsid w:val="000C3A16"/>
    <w:rsid w:val="000C45C0"/>
    <w:rsid w:val="000D2859"/>
    <w:rsid w:val="000E2E67"/>
    <w:rsid w:val="000E663A"/>
    <w:rsid w:val="000F0A3D"/>
    <w:rsid w:val="001006F2"/>
    <w:rsid w:val="00102A03"/>
    <w:rsid w:val="00112D2F"/>
    <w:rsid w:val="0011622C"/>
    <w:rsid w:val="00125079"/>
    <w:rsid w:val="00153E3D"/>
    <w:rsid w:val="00154309"/>
    <w:rsid w:val="00163B9A"/>
    <w:rsid w:val="00170000"/>
    <w:rsid w:val="001711BB"/>
    <w:rsid w:val="00171212"/>
    <w:rsid w:val="001A10E9"/>
    <w:rsid w:val="001B28CD"/>
    <w:rsid w:val="001C6199"/>
    <w:rsid w:val="001D6499"/>
    <w:rsid w:val="001E32C3"/>
    <w:rsid w:val="001E69F3"/>
    <w:rsid w:val="001F2B1F"/>
    <w:rsid w:val="00201D14"/>
    <w:rsid w:val="002220C1"/>
    <w:rsid w:val="00223C9B"/>
    <w:rsid w:val="00237843"/>
    <w:rsid w:val="00250B65"/>
    <w:rsid w:val="00254A05"/>
    <w:rsid w:val="00275045"/>
    <w:rsid w:val="00285E04"/>
    <w:rsid w:val="00297998"/>
    <w:rsid w:val="002A262E"/>
    <w:rsid w:val="002B2B54"/>
    <w:rsid w:val="002C79A6"/>
    <w:rsid w:val="002D095A"/>
    <w:rsid w:val="003000ED"/>
    <w:rsid w:val="00302A71"/>
    <w:rsid w:val="003216E0"/>
    <w:rsid w:val="00333267"/>
    <w:rsid w:val="00347D42"/>
    <w:rsid w:val="00362E10"/>
    <w:rsid w:val="003879AD"/>
    <w:rsid w:val="00393C8D"/>
    <w:rsid w:val="00396190"/>
    <w:rsid w:val="003A0A83"/>
    <w:rsid w:val="003A0C5B"/>
    <w:rsid w:val="003B3DB5"/>
    <w:rsid w:val="003B3F78"/>
    <w:rsid w:val="003C2E8F"/>
    <w:rsid w:val="003C32AC"/>
    <w:rsid w:val="003C63A6"/>
    <w:rsid w:val="003C7F66"/>
    <w:rsid w:val="003D27FC"/>
    <w:rsid w:val="003E2902"/>
    <w:rsid w:val="003F38B1"/>
    <w:rsid w:val="00403226"/>
    <w:rsid w:val="0042221A"/>
    <w:rsid w:val="00425155"/>
    <w:rsid w:val="00426C65"/>
    <w:rsid w:val="00440750"/>
    <w:rsid w:val="00442823"/>
    <w:rsid w:val="0045483E"/>
    <w:rsid w:val="00460499"/>
    <w:rsid w:val="00465DC4"/>
    <w:rsid w:val="0048013C"/>
    <w:rsid w:val="00481BAD"/>
    <w:rsid w:val="004838DC"/>
    <w:rsid w:val="00496012"/>
    <w:rsid w:val="0049745C"/>
    <w:rsid w:val="004A1A92"/>
    <w:rsid w:val="004A1D8B"/>
    <w:rsid w:val="004C5563"/>
    <w:rsid w:val="004E3769"/>
    <w:rsid w:val="004E4BAC"/>
    <w:rsid w:val="005018C5"/>
    <w:rsid w:val="00502E90"/>
    <w:rsid w:val="00513444"/>
    <w:rsid w:val="005227FD"/>
    <w:rsid w:val="005448AD"/>
    <w:rsid w:val="00552A48"/>
    <w:rsid w:val="0055604D"/>
    <w:rsid w:val="0055608C"/>
    <w:rsid w:val="0056074F"/>
    <w:rsid w:val="00566384"/>
    <w:rsid w:val="005756BA"/>
    <w:rsid w:val="00575A00"/>
    <w:rsid w:val="00575F8E"/>
    <w:rsid w:val="00581FD9"/>
    <w:rsid w:val="00584C97"/>
    <w:rsid w:val="005B7018"/>
    <w:rsid w:val="005C11FC"/>
    <w:rsid w:val="005D49FC"/>
    <w:rsid w:val="005D523F"/>
    <w:rsid w:val="005E4A02"/>
    <w:rsid w:val="005F2452"/>
    <w:rsid w:val="005F3121"/>
    <w:rsid w:val="006072BB"/>
    <w:rsid w:val="00613AD2"/>
    <w:rsid w:val="0062157E"/>
    <w:rsid w:val="006279B9"/>
    <w:rsid w:val="006314BF"/>
    <w:rsid w:val="00633CA8"/>
    <w:rsid w:val="00635F97"/>
    <w:rsid w:val="00636D14"/>
    <w:rsid w:val="00640136"/>
    <w:rsid w:val="0064074B"/>
    <w:rsid w:val="00642EAC"/>
    <w:rsid w:val="006546F2"/>
    <w:rsid w:val="00684C44"/>
    <w:rsid w:val="0069059A"/>
    <w:rsid w:val="0069767F"/>
    <w:rsid w:val="006C78CF"/>
    <w:rsid w:val="006D4E40"/>
    <w:rsid w:val="006D5B4F"/>
    <w:rsid w:val="006F5C69"/>
    <w:rsid w:val="0070077B"/>
    <w:rsid w:val="00741475"/>
    <w:rsid w:val="00764EE8"/>
    <w:rsid w:val="00784140"/>
    <w:rsid w:val="007C2CCC"/>
    <w:rsid w:val="007D0A2A"/>
    <w:rsid w:val="007F14E4"/>
    <w:rsid w:val="007F1855"/>
    <w:rsid w:val="007F18A5"/>
    <w:rsid w:val="007F315A"/>
    <w:rsid w:val="007F5AA0"/>
    <w:rsid w:val="007F5AC9"/>
    <w:rsid w:val="007F774A"/>
    <w:rsid w:val="00803A51"/>
    <w:rsid w:val="0085543B"/>
    <w:rsid w:val="00876A74"/>
    <w:rsid w:val="00885FE6"/>
    <w:rsid w:val="008A07F8"/>
    <w:rsid w:val="008D1E72"/>
    <w:rsid w:val="008D297F"/>
    <w:rsid w:val="008D2B28"/>
    <w:rsid w:val="008D32DE"/>
    <w:rsid w:val="008E1F6C"/>
    <w:rsid w:val="008E20CD"/>
    <w:rsid w:val="008E37AC"/>
    <w:rsid w:val="008E5B7A"/>
    <w:rsid w:val="008F249C"/>
    <w:rsid w:val="008F4A8F"/>
    <w:rsid w:val="008F6E80"/>
    <w:rsid w:val="008F7CA4"/>
    <w:rsid w:val="00900E6A"/>
    <w:rsid w:val="00931C17"/>
    <w:rsid w:val="00936C49"/>
    <w:rsid w:val="00944572"/>
    <w:rsid w:val="00946992"/>
    <w:rsid w:val="0094701F"/>
    <w:rsid w:val="00953227"/>
    <w:rsid w:val="009740DF"/>
    <w:rsid w:val="0098744A"/>
    <w:rsid w:val="00987F43"/>
    <w:rsid w:val="00994CC8"/>
    <w:rsid w:val="009A3A1B"/>
    <w:rsid w:val="009A5F69"/>
    <w:rsid w:val="009A70BD"/>
    <w:rsid w:val="009E428A"/>
    <w:rsid w:val="009F4690"/>
    <w:rsid w:val="00A05D3C"/>
    <w:rsid w:val="00A155F7"/>
    <w:rsid w:val="00A20495"/>
    <w:rsid w:val="00A237C2"/>
    <w:rsid w:val="00A2757B"/>
    <w:rsid w:val="00A27ED3"/>
    <w:rsid w:val="00A30936"/>
    <w:rsid w:val="00A31863"/>
    <w:rsid w:val="00A413A6"/>
    <w:rsid w:val="00A429CD"/>
    <w:rsid w:val="00A6193E"/>
    <w:rsid w:val="00A82127"/>
    <w:rsid w:val="00AA4459"/>
    <w:rsid w:val="00AB297E"/>
    <w:rsid w:val="00AC4735"/>
    <w:rsid w:val="00AC4F4E"/>
    <w:rsid w:val="00AD58F8"/>
    <w:rsid w:val="00AE6103"/>
    <w:rsid w:val="00AF702F"/>
    <w:rsid w:val="00B34597"/>
    <w:rsid w:val="00B34B5B"/>
    <w:rsid w:val="00B35BD1"/>
    <w:rsid w:val="00B45EAC"/>
    <w:rsid w:val="00B47161"/>
    <w:rsid w:val="00B47A77"/>
    <w:rsid w:val="00B63443"/>
    <w:rsid w:val="00B73DD6"/>
    <w:rsid w:val="00B82712"/>
    <w:rsid w:val="00BA7264"/>
    <w:rsid w:val="00BA7453"/>
    <w:rsid w:val="00BB1D83"/>
    <w:rsid w:val="00BB241E"/>
    <w:rsid w:val="00BB5E97"/>
    <w:rsid w:val="00BB6AEE"/>
    <w:rsid w:val="00BC22DA"/>
    <w:rsid w:val="00BD03EB"/>
    <w:rsid w:val="00BF2574"/>
    <w:rsid w:val="00BF4409"/>
    <w:rsid w:val="00BF5725"/>
    <w:rsid w:val="00C041B7"/>
    <w:rsid w:val="00C160E3"/>
    <w:rsid w:val="00C16AB5"/>
    <w:rsid w:val="00C25539"/>
    <w:rsid w:val="00C2639B"/>
    <w:rsid w:val="00C65295"/>
    <w:rsid w:val="00C66946"/>
    <w:rsid w:val="00C9111A"/>
    <w:rsid w:val="00C9148F"/>
    <w:rsid w:val="00CA7336"/>
    <w:rsid w:val="00CC7443"/>
    <w:rsid w:val="00CF06D6"/>
    <w:rsid w:val="00CF77F2"/>
    <w:rsid w:val="00D01EB5"/>
    <w:rsid w:val="00D20DC8"/>
    <w:rsid w:val="00D249CE"/>
    <w:rsid w:val="00D31C69"/>
    <w:rsid w:val="00D33D22"/>
    <w:rsid w:val="00D34A65"/>
    <w:rsid w:val="00D411F2"/>
    <w:rsid w:val="00D519BD"/>
    <w:rsid w:val="00D52014"/>
    <w:rsid w:val="00D602FB"/>
    <w:rsid w:val="00D60B11"/>
    <w:rsid w:val="00D70A03"/>
    <w:rsid w:val="00D81F13"/>
    <w:rsid w:val="00D8355E"/>
    <w:rsid w:val="00D8435D"/>
    <w:rsid w:val="00D87717"/>
    <w:rsid w:val="00D95734"/>
    <w:rsid w:val="00DA4744"/>
    <w:rsid w:val="00DB10A5"/>
    <w:rsid w:val="00DB41F3"/>
    <w:rsid w:val="00DD084B"/>
    <w:rsid w:val="00DE76CC"/>
    <w:rsid w:val="00E01590"/>
    <w:rsid w:val="00E0524F"/>
    <w:rsid w:val="00E13885"/>
    <w:rsid w:val="00E4425F"/>
    <w:rsid w:val="00E83E68"/>
    <w:rsid w:val="00E96DA4"/>
    <w:rsid w:val="00EA6FE2"/>
    <w:rsid w:val="00EB5386"/>
    <w:rsid w:val="00ED617D"/>
    <w:rsid w:val="00EE68FA"/>
    <w:rsid w:val="00EF29D6"/>
    <w:rsid w:val="00F05317"/>
    <w:rsid w:val="00F054E3"/>
    <w:rsid w:val="00F05EBD"/>
    <w:rsid w:val="00F12BEA"/>
    <w:rsid w:val="00F16439"/>
    <w:rsid w:val="00F16FF4"/>
    <w:rsid w:val="00F3061C"/>
    <w:rsid w:val="00F31388"/>
    <w:rsid w:val="00F44C10"/>
    <w:rsid w:val="00F5200B"/>
    <w:rsid w:val="00F61503"/>
    <w:rsid w:val="00F64DEA"/>
    <w:rsid w:val="00F67C2D"/>
    <w:rsid w:val="00F7590E"/>
    <w:rsid w:val="00F94824"/>
    <w:rsid w:val="00F95A7E"/>
    <w:rsid w:val="00FC15F9"/>
    <w:rsid w:val="00FC6CD4"/>
    <w:rsid w:val="00FC7FD4"/>
    <w:rsid w:val="00FD57C2"/>
    <w:rsid w:val="00FF2C4E"/>
    <w:rsid w:val="00FF75E6"/>
    <w:rsid w:val="01007E42"/>
    <w:rsid w:val="01275D20"/>
    <w:rsid w:val="017734C4"/>
    <w:rsid w:val="01864D83"/>
    <w:rsid w:val="019A5532"/>
    <w:rsid w:val="01F376F8"/>
    <w:rsid w:val="0229551B"/>
    <w:rsid w:val="024C492F"/>
    <w:rsid w:val="029E7AD0"/>
    <w:rsid w:val="02A16E70"/>
    <w:rsid w:val="02F545EC"/>
    <w:rsid w:val="02FA30D3"/>
    <w:rsid w:val="03090322"/>
    <w:rsid w:val="032759B1"/>
    <w:rsid w:val="036F159C"/>
    <w:rsid w:val="03A07AD7"/>
    <w:rsid w:val="03A177F1"/>
    <w:rsid w:val="03EC73DD"/>
    <w:rsid w:val="049D565A"/>
    <w:rsid w:val="04AC72EC"/>
    <w:rsid w:val="05190704"/>
    <w:rsid w:val="0574092D"/>
    <w:rsid w:val="057B7AFF"/>
    <w:rsid w:val="0580226C"/>
    <w:rsid w:val="059B2E14"/>
    <w:rsid w:val="05AA531D"/>
    <w:rsid w:val="05CD3179"/>
    <w:rsid w:val="05D067D9"/>
    <w:rsid w:val="05FE190F"/>
    <w:rsid w:val="06306B73"/>
    <w:rsid w:val="06750C66"/>
    <w:rsid w:val="06DB7470"/>
    <w:rsid w:val="06EF58D3"/>
    <w:rsid w:val="07026F93"/>
    <w:rsid w:val="07116147"/>
    <w:rsid w:val="075E76FE"/>
    <w:rsid w:val="079B0BC0"/>
    <w:rsid w:val="07B34DB3"/>
    <w:rsid w:val="0855720F"/>
    <w:rsid w:val="085B4F44"/>
    <w:rsid w:val="088D5F5C"/>
    <w:rsid w:val="08A26242"/>
    <w:rsid w:val="0941245A"/>
    <w:rsid w:val="094C565A"/>
    <w:rsid w:val="096D5AA7"/>
    <w:rsid w:val="0997077C"/>
    <w:rsid w:val="09BC7504"/>
    <w:rsid w:val="09FD11BF"/>
    <w:rsid w:val="0A13499B"/>
    <w:rsid w:val="0A260FC3"/>
    <w:rsid w:val="0A2B6A3F"/>
    <w:rsid w:val="0A5A2814"/>
    <w:rsid w:val="0A643AC5"/>
    <w:rsid w:val="0AB823C4"/>
    <w:rsid w:val="0ACA4546"/>
    <w:rsid w:val="0B14682F"/>
    <w:rsid w:val="0B825441"/>
    <w:rsid w:val="0BA525D8"/>
    <w:rsid w:val="0BD50CE3"/>
    <w:rsid w:val="0BF55B92"/>
    <w:rsid w:val="0C200E1D"/>
    <w:rsid w:val="0C2F6006"/>
    <w:rsid w:val="0C426CB3"/>
    <w:rsid w:val="0C5056AF"/>
    <w:rsid w:val="0C5B37C6"/>
    <w:rsid w:val="0C602928"/>
    <w:rsid w:val="0C8352C9"/>
    <w:rsid w:val="0C88726E"/>
    <w:rsid w:val="0CCB7B51"/>
    <w:rsid w:val="0CE866DD"/>
    <w:rsid w:val="0D416E49"/>
    <w:rsid w:val="0D5B2BA8"/>
    <w:rsid w:val="0D8F1B47"/>
    <w:rsid w:val="0DA0360B"/>
    <w:rsid w:val="0DA47700"/>
    <w:rsid w:val="0DB55C17"/>
    <w:rsid w:val="0DC134A7"/>
    <w:rsid w:val="0E4D03C4"/>
    <w:rsid w:val="0E512BF8"/>
    <w:rsid w:val="0EF37672"/>
    <w:rsid w:val="0EF46240"/>
    <w:rsid w:val="0F1964F3"/>
    <w:rsid w:val="0F465E03"/>
    <w:rsid w:val="0F5002B6"/>
    <w:rsid w:val="0F5C1D51"/>
    <w:rsid w:val="0F620FFF"/>
    <w:rsid w:val="0F681E22"/>
    <w:rsid w:val="0F6C20F8"/>
    <w:rsid w:val="0F9262E5"/>
    <w:rsid w:val="0FEE60A0"/>
    <w:rsid w:val="0FFA06E8"/>
    <w:rsid w:val="1000028B"/>
    <w:rsid w:val="100B5B75"/>
    <w:rsid w:val="10390CED"/>
    <w:rsid w:val="10797991"/>
    <w:rsid w:val="108D7FEC"/>
    <w:rsid w:val="10C34A85"/>
    <w:rsid w:val="10EB0A61"/>
    <w:rsid w:val="10F96CD3"/>
    <w:rsid w:val="110662B7"/>
    <w:rsid w:val="110D477C"/>
    <w:rsid w:val="111125C9"/>
    <w:rsid w:val="11230728"/>
    <w:rsid w:val="11236144"/>
    <w:rsid w:val="114317C8"/>
    <w:rsid w:val="11504EEC"/>
    <w:rsid w:val="117E3EBF"/>
    <w:rsid w:val="11921F79"/>
    <w:rsid w:val="11A63895"/>
    <w:rsid w:val="11AA0E33"/>
    <w:rsid w:val="11D465DE"/>
    <w:rsid w:val="11DB026D"/>
    <w:rsid w:val="11F35E10"/>
    <w:rsid w:val="121E003E"/>
    <w:rsid w:val="123238F4"/>
    <w:rsid w:val="124E6914"/>
    <w:rsid w:val="128276A4"/>
    <w:rsid w:val="12871737"/>
    <w:rsid w:val="12B45137"/>
    <w:rsid w:val="12D84CD4"/>
    <w:rsid w:val="12F51579"/>
    <w:rsid w:val="12FD7CCA"/>
    <w:rsid w:val="13042B7A"/>
    <w:rsid w:val="13167841"/>
    <w:rsid w:val="131909C4"/>
    <w:rsid w:val="131F2662"/>
    <w:rsid w:val="137139DD"/>
    <w:rsid w:val="13B47F15"/>
    <w:rsid w:val="13C139AF"/>
    <w:rsid w:val="13E01C4A"/>
    <w:rsid w:val="14011AE1"/>
    <w:rsid w:val="14333776"/>
    <w:rsid w:val="144E16AB"/>
    <w:rsid w:val="144F6715"/>
    <w:rsid w:val="147A16BB"/>
    <w:rsid w:val="149C206F"/>
    <w:rsid w:val="14AA5797"/>
    <w:rsid w:val="154D743D"/>
    <w:rsid w:val="15667555"/>
    <w:rsid w:val="158D492B"/>
    <w:rsid w:val="15A97268"/>
    <w:rsid w:val="15CF1DD7"/>
    <w:rsid w:val="15E224A7"/>
    <w:rsid w:val="160C07B5"/>
    <w:rsid w:val="16150220"/>
    <w:rsid w:val="16397A1B"/>
    <w:rsid w:val="164342FA"/>
    <w:rsid w:val="165351E7"/>
    <w:rsid w:val="165770B0"/>
    <w:rsid w:val="16A22BEB"/>
    <w:rsid w:val="16CB645F"/>
    <w:rsid w:val="16E11B7C"/>
    <w:rsid w:val="171820A2"/>
    <w:rsid w:val="171877C6"/>
    <w:rsid w:val="17571001"/>
    <w:rsid w:val="17647109"/>
    <w:rsid w:val="17707BBF"/>
    <w:rsid w:val="177572AC"/>
    <w:rsid w:val="17776970"/>
    <w:rsid w:val="179E6119"/>
    <w:rsid w:val="17BA1FA3"/>
    <w:rsid w:val="17CB05D4"/>
    <w:rsid w:val="17CF624F"/>
    <w:rsid w:val="181270D8"/>
    <w:rsid w:val="183A7AB3"/>
    <w:rsid w:val="18402742"/>
    <w:rsid w:val="185C4B83"/>
    <w:rsid w:val="18C80336"/>
    <w:rsid w:val="190C0B53"/>
    <w:rsid w:val="19962C12"/>
    <w:rsid w:val="19AE3FA6"/>
    <w:rsid w:val="1A09129E"/>
    <w:rsid w:val="1A14677F"/>
    <w:rsid w:val="1AC3684A"/>
    <w:rsid w:val="1ACA77FB"/>
    <w:rsid w:val="1ACC5BF8"/>
    <w:rsid w:val="1AD774CB"/>
    <w:rsid w:val="1AE92FD5"/>
    <w:rsid w:val="1B1E67F8"/>
    <w:rsid w:val="1B200CF6"/>
    <w:rsid w:val="1B2A7529"/>
    <w:rsid w:val="1B390BDC"/>
    <w:rsid w:val="1B4E55E8"/>
    <w:rsid w:val="1B8E7170"/>
    <w:rsid w:val="1BBD111D"/>
    <w:rsid w:val="1BE0443F"/>
    <w:rsid w:val="1C471722"/>
    <w:rsid w:val="1C5C588F"/>
    <w:rsid w:val="1C983F97"/>
    <w:rsid w:val="1CA955CE"/>
    <w:rsid w:val="1CB1569A"/>
    <w:rsid w:val="1CB313F6"/>
    <w:rsid w:val="1CEF0D6A"/>
    <w:rsid w:val="1CFB6B14"/>
    <w:rsid w:val="1D3C45B0"/>
    <w:rsid w:val="1D4028B0"/>
    <w:rsid w:val="1D613CFF"/>
    <w:rsid w:val="1DDF798E"/>
    <w:rsid w:val="1DEF5B4E"/>
    <w:rsid w:val="1E00462C"/>
    <w:rsid w:val="1E1C5E73"/>
    <w:rsid w:val="1E3D5BFF"/>
    <w:rsid w:val="1E3F5B0A"/>
    <w:rsid w:val="1E402DD2"/>
    <w:rsid w:val="1E462655"/>
    <w:rsid w:val="1E5B585E"/>
    <w:rsid w:val="1E703E54"/>
    <w:rsid w:val="1EA0459D"/>
    <w:rsid w:val="1EB21D4C"/>
    <w:rsid w:val="1ECC5D06"/>
    <w:rsid w:val="1ED42809"/>
    <w:rsid w:val="1EEF0477"/>
    <w:rsid w:val="1EF26162"/>
    <w:rsid w:val="1F6457D9"/>
    <w:rsid w:val="1F64740B"/>
    <w:rsid w:val="1F6A2CF4"/>
    <w:rsid w:val="1F9F2549"/>
    <w:rsid w:val="1FAE057F"/>
    <w:rsid w:val="1FCC5382"/>
    <w:rsid w:val="1FD86B10"/>
    <w:rsid w:val="1FFD6FC8"/>
    <w:rsid w:val="200C59D1"/>
    <w:rsid w:val="201221D2"/>
    <w:rsid w:val="202279CC"/>
    <w:rsid w:val="20441B19"/>
    <w:rsid w:val="20663493"/>
    <w:rsid w:val="2069018D"/>
    <w:rsid w:val="2078256A"/>
    <w:rsid w:val="20A0219D"/>
    <w:rsid w:val="20AB38D2"/>
    <w:rsid w:val="20B60991"/>
    <w:rsid w:val="20B87A68"/>
    <w:rsid w:val="20BF45FE"/>
    <w:rsid w:val="20C70459"/>
    <w:rsid w:val="20E00C0C"/>
    <w:rsid w:val="2102069D"/>
    <w:rsid w:val="2106288F"/>
    <w:rsid w:val="21082292"/>
    <w:rsid w:val="21391D4A"/>
    <w:rsid w:val="21C9221A"/>
    <w:rsid w:val="22160B82"/>
    <w:rsid w:val="228952D6"/>
    <w:rsid w:val="2297314D"/>
    <w:rsid w:val="229F23A9"/>
    <w:rsid w:val="22A279E3"/>
    <w:rsid w:val="22BA2B41"/>
    <w:rsid w:val="22CC58EC"/>
    <w:rsid w:val="22D26F9A"/>
    <w:rsid w:val="233C7E85"/>
    <w:rsid w:val="23AF69F1"/>
    <w:rsid w:val="23B12896"/>
    <w:rsid w:val="23CB0902"/>
    <w:rsid w:val="23E11A3F"/>
    <w:rsid w:val="23F316BB"/>
    <w:rsid w:val="24763848"/>
    <w:rsid w:val="247C12B5"/>
    <w:rsid w:val="24827E18"/>
    <w:rsid w:val="24963225"/>
    <w:rsid w:val="24C31569"/>
    <w:rsid w:val="24C9231F"/>
    <w:rsid w:val="24D52D8A"/>
    <w:rsid w:val="25377C12"/>
    <w:rsid w:val="25752CBA"/>
    <w:rsid w:val="25902E9C"/>
    <w:rsid w:val="25B0273C"/>
    <w:rsid w:val="25D45C3E"/>
    <w:rsid w:val="25DD61F7"/>
    <w:rsid w:val="25E81861"/>
    <w:rsid w:val="26034EF6"/>
    <w:rsid w:val="260E6047"/>
    <w:rsid w:val="263D5C2C"/>
    <w:rsid w:val="26812549"/>
    <w:rsid w:val="2682292E"/>
    <w:rsid w:val="26AF716B"/>
    <w:rsid w:val="26B57F3A"/>
    <w:rsid w:val="27126E5B"/>
    <w:rsid w:val="27437FDF"/>
    <w:rsid w:val="275B4E31"/>
    <w:rsid w:val="276E7580"/>
    <w:rsid w:val="279E1806"/>
    <w:rsid w:val="279F27E3"/>
    <w:rsid w:val="27C40F6B"/>
    <w:rsid w:val="28073099"/>
    <w:rsid w:val="281E11E4"/>
    <w:rsid w:val="28841A24"/>
    <w:rsid w:val="28907C53"/>
    <w:rsid w:val="28B92147"/>
    <w:rsid w:val="28C049C9"/>
    <w:rsid w:val="28E318D4"/>
    <w:rsid w:val="293624BD"/>
    <w:rsid w:val="294D49C5"/>
    <w:rsid w:val="296231D6"/>
    <w:rsid w:val="29B616C2"/>
    <w:rsid w:val="29BA0A21"/>
    <w:rsid w:val="29BB2399"/>
    <w:rsid w:val="2A19597B"/>
    <w:rsid w:val="2A23324E"/>
    <w:rsid w:val="2A536207"/>
    <w:rsid w:val="2A6C2D68"/>
    <w:rsid w:val="2A6F0AFC"/>
    <w:rsid w:val="2A7439F6"/>
    <w:rsid w:val="2ACE0C31"/>
    <w:rsid w:val="2AFD4EC5"/>
    <w:rsid w:val="2AFF1738"/>
    <w:rsid w:val="2B046437"/>
    <w:rsid w:val="2B1B420B"/>
    <w:rsid w:val="2B376F2C"/>
    <w:rsid w:val="2B417276"/>
    <w:rsid w:val="2B5A5895"/>
    <w:rsid w:val="2B954A46"/>
    <w:rsid w:val="2C765025"/>
    <w:rsid w:val="2C852F06"/>
    <w:rsid w:val="2C9515B6"/>
    <w:rsid w:val="2C981CCD"/>
    <w:rsid w:val="2C9F53AF"/>
    <w:rsid w:val="2CBA641B"/>
    <w:rsid w:val="2D040C32"/>
    <w:rsid w:val="2D0757A6"/>
    <w:rsid w:val="2D8911AD"/>
    <w:rsid w:val="2D982E0B"/>
    <w:rsid w:val="2DB53B3B"/>
    <w:rsid w:val="2DCB5CD4"/>
    <w:rsid w:val="2DCC44FF"/>
    <w:rsid w:val="2E072654"/>
    <w:rsid w:val="2E08482B"/>
    <w:rsid w:val="2E3D32FC"/>
    <w:rsid w:val="2E5E1319"/>
    <w:rsid w:val="2E6F38EF"/>
    <w:rsid w:val="2EC24EAE"/>
    <w:rsid w:val="2EE81AFF"/>
    <w:rsid w:val="2F46518B"/>
    <w:rsid w:val="2F47109C"/>
    <w:rsid w:val="2F4B2213"/>
    <w:rsid w:val="2F757F47"/>
    <w:rsid w:val="2F8868AA"/>
    <w:rsid w:val="2F8B4DEA"/>
    <w:rsid w:val="2F9075F6"/>
    <w:rsid w:val="2F965A58"/>
    <w:rsid w:val="2F9A594D"/>
    <w:rsid w:val="2FF3519E"/>
    <w:rsid w:val="301F3F47"/>
    <w:rsid w:val="30303517"/>
    <w:rsid w:val="307B4A76"/>
    <w:rsid w:val="308E13FA"/>
    <w:rsid w:val="311E4999"/>
    <w:rsid w:val="312573D2"/>
    <w:rsid w:val="31300A9C"/>
    <w:rsid w:val="313279B0"/>
    <w:rsid w:val="31785EB2"/>
    <w:rsid w:val="317F3D7D"/>
    <w:rsid w:val="31960D20"/>
    <w:rsid w:val="31A435DE"/>
    <w:rsid w:val="31B9703B"/>
    <w:rsid w:val="31CD0C24"/>
    <w:rsid w:val="31F0559B"/>
    <w:rsid w:val="31FF60CF"/>
    <w:rsid w:val="322963D4"/>
    <w:rsid w:val="32490EF5"/>
    <w:rsid w:val="324E528F"/>
    <w:rsid w:val="32642296"/>
    <w:rsid w:val="326B085A"/>
    <w:rsid w:val="32A01606"/>
    <w:rsid w:val="32C94A9C"/>
    <w:rsid w:val="32D040EC"/>
    <w:rsid w:val="32D93D68"/>
    <w:rsid w:val="32E120A3"/>
    <w:rsid w:val="33092D4F"/>
    <w:rsid w:val="33255992"/>
    <w:rsid w:val="332D454F"/>
    <w:rsid w:val="33426DD3"/>
    <w:rsid w:val="334E1463"/>
    <w:rsid w:val="339165C1"/>
    <w:rsid w:val="33B76872"/>
    <w:rsid w:val="33C85644"/>
    <w:rsid w:val="34710950"/>
    <w:rsid w:val="348E3F5F"/>
    <w:rsid w:val="34A07D70"/>
    <w:rsid w:val="34AE125F"/>
    <w:rsid w:val="34D84426"/>
    <w:rsid w:val="34D85063"/>
    <w:rsid w:val="352548D7"/>
    <w:rsid w:val="352A70A8"/>
    <w:rsid w:val="359B5E22"/>
    <w:rsid w:val="359C1AAB"/>
    <w:rsid w:val="35A63D95"/>
    <w:rsid w:val="35AB3B2B"/>
    <w:rsid w:val="35B11597"/>
    <w:rsid w:val="35B27244"/>
    <w:rsid w:val="360B3E62"/>
    <w:rsid w:val="364970DE"/>
    <w:rsid w:val="364E1FAC"/>
    <w:rsid w:val="36503AF9"/>
    <w:rsid w:val="366C02C0"/>
    <w:rsid w:val="367F29FE"/>
    <w:rsid w:val="36C24DA9"/>
    <w:rsid w:val="36C26B8E"/>
    <w:rsid w:val="36E41E01"/>
    <w:rsid w:val="36FA7861"/>
    <w:rsid w:val="371258E5"/>
    <w:rsid w:val="3716362D"/>
    <w:rsid w:val="3744619F"/>
    <w:rsid w:val="374E03A8"/>
    <w:rsid w:val="375F48B5"/>
    <w:rsid w:val="37797AAB"/>
    <w:rsid w:val="379543B0"/>
    <w:rsid w:val="37965565"/>
    <w:rsid w:val="37D97A8B"/>
    <w:rsid w:val="38683E4F"/>
    <w:rsid w:val="38710E3F"/>
    <w:rsid w:val="389649C5"/>
    <w:rsid w:val="3971655D"/>
    <w:rsid w:val="39BA1ADC"/>
    <w:rsid w:val="39F40A57"/>
    <w:rsid w:val="3A421997"/>
    <w:rsid w:val="3A735F50"/>
    <w:rsid w:val="3A8D08BE"/>
    <w:rsid w:val="3AE356EC"/>
    <w:rsid w:val="3AE83416"/>
    <w:rsid w:val="3AE84F21"/>
    <w:rsid w:val="3B1E1277"/>
    <w:rsid w:val="3B241639"/>
    <w:rsid w:val="3B2958E9"/>
    <w:rsid w:val="3B340B10"/>
    <w:rsid w:val="3B4342F2"/>
    <w:rsid w:val="3B705907"/>
    <w:rsid w:val="3BAC54A0"/>
    <w:rsid w:val="3BB450D2"/>
    <w:rsid w:val="3BB51625"/>
    <w:rsid w:val="3BB83A55"/>
    <w:rsid w:val="3BC540CC"/>
    <w:rsid w:val="3C016259"/>
    <w:rsid w:val="3C05702B"/>
    <w:rsid w:val="3C70334F"/>
    <w:rsid w:val="3C797D13"/>
    <w:rsid w:val="3C806348"/>
    <w:rsid w:val="3CD2615F"/>
    <w:rsid w:val="3D11205B"/>
    <w:rsid w:val="3D3D55B3"/>
    <w:rsid w:val="3D50398D"/>
    <w:rsid w:val="3D5619DA"/>
    <w:rsid w:val="3D5B6EE5"/>
    <w:rsid w:val="3D604ED5"/>
    <w:rsid w:val="3DE25DB3"/>
    <w:rsid w:val="3DE6670E"/>
    <w:rsid w:val="3E1B54E8"/>
    <w:rsid w:val="3E7A463F"/>
    <w:rsid w:val="3E925B12"/>
    <w:rsid w:val="3E9F0185"/>
    <w:rsid w:val="3EFB0FE0"/>
    <w:rsid w:val="3F0128C7"/>
    <w:rsid w:val="3F12480E"/>
    <w:rsid w:val="3F4C14EF"/>
    <w:rsid w:val="3F50722A"/>
    <w:rsid w:val="3F645D9C"/>
    <w:rsid w:val="3F8E1AF4"/>
    <w:rsid w:val="3FA35235"/>
    <w:rsid w:val="3FA54560"/>
    <w:rsid w:val="3FB10B8E"/>
    <w:rsid w:val="3FCB2B69"/>
    <w:rsid w:val="3FFD4490"/>
    <w:rsid w:val="40256719"/>
    <w:rsid w:val="405A34BE"/>
    <w:rsid w:val="40650AB8"/>
    <w:rsid w:val="406D2075"/>
    <w:rsid w:val="40A73A11"/>
    <w:rsid w:val="40D50F73"/>
    <w:rsid w:val="40E765BD"/>
    <w:rsid w:val="410D6E30"/>
    <w:rsid w:val="41412351"/>
    <w:rsid w:val="414E6719"/>
    <w:rsid w:val="416D4D8C"/>
    <w:rsid w:val="417A46D4"/>
    <w:rsid w:val="41904DF6"/>
    <w:rsid w:val="419345E1"/>
    <w:rsid w:val="41940CDA"/>
    <w:rsid w:val="41AA2509"/>
    <w:rsid w:val="41B16EBC"/>
    <w:rsid w:val="41CF0BCF"/>
    <w:rsid w:val="41D427C4"/>
    <w:rsid w:val="41E04248"/>
    <w:rsid w:val="41EF7A43"/>
    <w:rsid w:val="42042CCA"/>
    <w:rsid w:val="42812A86"/>
    <w:rsid w:val="42B56350"/>
    <w:rsid w:val="43104C13"/>
    <w:rsid w:val="432C5504"/>
    <w:rsid w:val="43365770"/>
    <w:rsid w:val="43482809"/>
    <w:rsid w:val="43593F71"/>
    <w:rsid w:val="436A7AC8"/>
    <w:rsid w:val="43727FC7"/>
    <w:rsid w:val="43794BD1"/>
    <w:rsid w:val="439006C3"/>
    <w:rsid w:val="43934B60"/>
    <w:rsid w:val="44766FA6"/>
    <w:rsid w:val="44C409AF"/>
    <w:rsid w:val="44CB6471"/>
    <w:rsid w:val="44D70159"/>
    <w:rsid w:val="4504471C"/>
    <w:rsid w:val="45263750"/>
    <w:rsid w:val="4567448A"/>
    <w:rsid w:val="45791C6C"/>
    <w:rsid w:val="45974ABD"/>
    <w:rsid w:val="45D05F89"/>
    <w:rsid w:val="460008CE"/>
    <w:rsid w:val="46107943"/>
    <w:rsid w:val="46212412"/>
    <w:rsid w:val="462430DE"/>
    <w:rsid w:val="46476EB4"/>
    <w:rsid w:val="46A301C2"/>
    <w:rsid w:val="46A54CB5"/>
    <w:rsid w:val="46A83331"/>
    <w:rsid w:val="46B215A3"/>
    <w:rsid w:val="46C36755"/>
    <w:rsid w:val="46D027AA"/>
    <w:rsid w:val="47092F16"/>
    <w:rsid w:val="47396823"/>
    <w:rsid w:val="476D5EBB"/>
    <w:rsid w:val="47711558"/>
    <w:rsid w:val="47723768"/>
    <w:rsid w:val="47BB0096"/>
    <w:rsid w:val="47D9353C"/>
    <w:rsid w:val="47E54F55"/>
    <w:rsid w:val="47FA3E97"/>
    <w:rsid w:val="47FE50D5"/>
    <w:rsid w:val="483337FA"/>
    <w:rsid w:val="48961FF5"/>
    <w:rsid w:val="48A25DD0"/>
    <w:rsid w:val="48DD2962"/>
    <w:rsid w:val="48EF5006"/>
    <w:rsid w:val="49490BB1"/>
    <w:rsid w:val="494B36B3"/>
    <w:rsid w:val="49692915"/>
    <w:rsid w:val="499769D5"/>
    <w:rsid w:val="4A0418B4"/>
    <w:rsid w:val="4A3847B0"/>
    <w:rsid w:val="4A3F772C"/>
    <w:rsid w:val="4A492B02"/>
    <w:rsid w:val="4A584C12"/>
    <w:rsid w:val="4A6603DD"/>
    <w:rsid w:val="4A6E7668"/>
    <w:rsid w:val="4AAA31BB"/>
    <w:rsid w:val="4ABC719B"/>
    <w:rsid w:val="4B040E73"/>
    <w:rsid w:val="4B054806"/>
    <w:rsid w:val="4B323DAD"/>
    <w:rsid w:val="4B6C0448"/>
    <w:rsid w:val="4B911AF6"/>
    <w:rsid w:val="4B992729"/>
    <w:rsid w:val="4BB66672"/>
    <w:rsid w:val="4BF14E5C"/>
    <w:rsid w:val="4BF6455A"/>
    <w:rsid w:val="4C2C72E7"/>
    <w:rsid w:val="4C387C0E"/>
    <w:rsid w:val="4C594A39"/>
    <w:rsid w:val="4C6A36A5"/>
    <w:rsid w:val="4CB2203E"/>
    <w:rsid w:val="4D221A5E"/>
    <w:rsid w:val="4D2F1ADF"/>
    <w:rsid w:val="4D397E04"/>
    <w:rsid w:val="4D5B3007"/>
    <w:rsid w:val="4D6604E2"/>
    <w:rsid w:val="4D83282D"/>
    <w:rsid w:val="4D850510"/>
    <w:rsid w:val="4DB91463"/>
    <w:rsid w:val="4DD26CD8"/>
    <w:rsid w:val="4DE16570"/>
    <w:rsid w:val="4E173FF1"/>
    <w:rsid w:val="4E36503C"/>
    <w:rsid w:val="4E663FE6"/>
    <w:rsid w:val="4E7B5597"/>
    <w:rsid w:val="4E7D306C"/>
    <w:rsid w:val="4EBC4081"/>
    <w:rsid w:val="4ED02D42"/>
    <w:rsid w:val="4EE36998"/>
    <w:rsid w:val="4F377CE8"/>
    <w:rsid w:val="4F42117D"/>
    <w:rsid w:val="4F48599F"/>
    <w:rsid w:val="4F4F2BC1"/>
    <w:rsid w:val="4F604C84"/>
    <w:rsid w:val="4F7A0880"/>
    <w:rsid w:val="4F96706C"/>
    <w:rsid w:val="4FA060F5"/>
    <w:rsid w:val="4FC915F8"/>
    <w:rsid w:val="4FDE4342"/>
    <w:rsid w:val="50421741"/>
    <w:rsid w:val="50483E94"/>
    <w:rsid w:val="504E4277"/>
    <w:rsid w:val="506F3038"/>
    <w:rsid w:val="50952DF2"/>
    <w:rsid w:val="50E05A11"/>
    <w:rsid w:val="50EA74A0"/>
    <w:rsid w:val="50F07683"/>
    <w:rsid w:val="512B3E20"/>
    <w:rsid w:val="51316332"/>
    <w:rsid w:val="516C70A1"/>
    <w:rsid w:val="52372CD0"/>
    <w:rsid w:val="523875ED"/>
    <w:rsid w:val="526826F8"/>
    <w:rsid w:val="5302247A"/>
    <w:rsid w:val="53315390"/>
    <w:rsid w:val="533A5121"/>
    <w:rsid w:val="53425BB0"/>
    <w:rsid w:val="534B0C47"/>
    <w:rsid w:val="5360776D"/>
    <w:rsid w:val="537261AA"/>
    <w:rsid w:val="53E411F3"/>
    <w:rsid w:val="544D59FD"/>
    <w:rsid w:val="546A6B00"/>
    <w:rsid w:val="54B10B69"/>
    <w:rsid w:val="54D357A1"/>
    <w:rsid w:val="54D42E2B"/>
    <w:rsid w:val="54FE79E1"/>
    <w:rsid w:val="550479F9"/>
    <w:rsid w:val="554054D5"/>
    <w:rsid w:val="5565242B"/>
    <w:rsid w:val="558B0EF2"/>
    <w:rsid w:val="55A70A67"/>
    <w:rsid w:val="56195DC5"/>
    <w:rsid w:val="56205935"/>
    <w:rsid w:val="5671771B"/>
    <w:rsid w:val="569F5204"/>
    <w:rsid w:val="56A40F80"/>
    <w:rsid w:val="56E30A23"/>
    <w:rsid w:val="56F805D3"/>
    <w:rsid w:val="56F9482C"/>
    <w:rsid w:val="572F2122"/>
    <w:rsid w:val="5732282D"/>
    <w:rsid w:val="57513E3C"/>
    <w:rsid w:val="575E71D1"/>
    <w:rsid w:val="57656AAF"/>
    <w:rsid w:val="57780285"/>
    <w:rsid w:val="57895841"/>
    <w:rsid w:val="57CB7122"/>
    <w:rsid w:val="580206F4"/>
    <w:rsid w:val="580F49BF"/>
    <w:rsid w:val="581F69C6"/>
    <w:rsid w:val="58BB51AE"/>
    <w:rsid w:val="58C67724"/>
    <w:rsid w:val="58DC5F89"/>
    <w:rsid w:val="58F74373"/>
    <w:rsid w:val="592B2BC8"/>
    <w:rsid w:val="5932697F"/>
    <w:rsid w:val="5945570A"/>
    <w:rsid w:val="597746E4"/>
    <w:rsid w:val="59843CBF"/>
    <w:rsid w:val="598A1022"/>
    <w:rsid w:val="59B44E5D"/>
    <w:rsid w:val="59B93578"/>
    <w:rsid w:val="59C60319"/>
    <w:rsid w:val="5A0A7C1A"/>
    <w:rsid w:val="5A4A27BF"/>
    <w:rsid w:val="5A4A7AA9"/>
    <w:rsid w:val="5A4D502C"/>
    <w:rsid w:val="5A636A25"/>
    <w:rsid w:val="5A795462"/>
    <w:rsid w:val="5B314B9C"/>
    <w:rsid w:val="5B4F5494"/>
    <w:rsid w:val="5B5267B9"/>
    <w:rsid w:val="5B5F034D"/>
    <w:rsid w:val="5B64318C"/>
    <w:rsid w:val="5B7A2A80"/>
    <w:rsid w:val="5B9E5C51"/>
    <w:rsid w:val="5BC05588"/>
    <w:rsid w:val="5BD42E24"/>
    <w:rsid w:val="5BE21F66"/>
    <w:rsid w:val="5BFB37A6"/>
    <w:rsid w:val="5C240C7B"/>
    <w:rsid w:val="5C8D51F6"/>
    <w:rsid w:val="5CA223D5"/>
    <w:rsid w:val="5CA52AF5"/>
    <w:rsid w:val="5CB963A2"/>
    <w:rsid w:val="5CC41C0D"/>
    <w:rsid w:val="5CCE1A7B"/>
    <w:rsid w:val="5CE42D12"/>
    <w:rsid w:val="5D2006AE"/>
    <w:rsid w:val="5D5D7AEC"/>
    <w:rsid w:val="5DB07B64"/>
    <w:rsid w:val="5DDE2965"/>
    <w:rsid w:val="5DE55D4F"/>
    <w:rsid w:val="5DF24F34"/>
    <w:rsid w:val="5E0B635A"/>
    <w:rsid w:val="5E1F1A63"/>
    <w:rsid w:val="5E294CEB"/>
    <w:rsid w:val="5EA11D24"/>
    <w:rsid w:val="5ED02091"/>
    <w:rsid w:val="5ED02A30"/>
    <w:rsid w:val="5EF54261"/>
    <w:rsid w:val="5EF66F80"/>
    <w:rsid w:val="5EFD3DCB"/>
    <w:rsid w:val="5F323D85"/>
    <w:rsid w:val="5F5919A6"/>
    <w:rsid w:val="5F82440E"/>
    <w:rsid w:val="5F895057"/>
    <w:rsid w:val="5F940A3E"/>
    <w:rsid w:val="5FE408D5"/>
    <w:rsid w:val="60210B27"/>
    <w:rsid w:val="603C0211"/>
    <w:rsid w:val="605C661D"/>
    <w:rsid w:val="60864E22"/>
    <w:rsid w:val="60992FAF"/>
    <w:rsid w:val="610B3038"/>
    <w:rsid w:val="610E3C8B"/>
    <w:rsid w:val="6157463B"/>
    <w:rsid w:val="617E4947"/>
    <w:rsid w:val="618C3680"/>
    <w:rsid w:val="619157A0"/>
    <w:rsid w:val="61AD7FAC"/>
    <w:rsid w:val="61B9082C"/>
    <w:rsid w:val="61FD44F3"/>
    <w:rsid w:val="620039AE"/>
    <w:rsid w:val="62012E19"/>
    <w:rsid w:val="620C4DF8"/>
    <w:rsid w:val="62552691"/>
    <w:rsid w:val="62B528C2"/>
    <w:rsid w:val="62FE72D8"/>
    <w:rsid w:val="632259C4"/>
    <w:rsid w:val="63263D0D"/>
    <w:rsid w:val="634D2D5C"/>
    <w:rsid w:val="63632B45"/>
    <w:rsid w:val="6373260F"/>
    <w:rsid w:val="63856413"/>
    <w:rsid w:val="63991F70"/>
    <w:rsid w:val="63AD54D7"/>
    <w:rsid w:val="63C47DE3"/>
    <w:rsid w:val="63D201A3"/>
    <w:rsid w:val="63D535AA"/>
    <w:rsid w:val="63DF6D3D"/>
    <w:rsid w:val="64003D27"/>
    <w:rsid w:val="644763D7"/>
    <w:rsid w:val="64505A3F"/>
    <w:rsid w:val="646E04C5"/>
    <w:rsid w:val="649548FB"/>
    <w:rsid w:val="64AD388C"/>
    <w:rsid w:val="64B60830"/>
    <w:rsid w:val="64CF64E9"/>
    <w:rsid w:val="64D81CF5"/>
    <w:rsid w:val="65420BAE"/>
    <w:rsid w:val="65520C3E"/>
    <w:rsid w:val="65863C10"/>
    <w:rsid w:val="65A45561"/>
    <w:rsid w:val="66324275"/>
    <w:rsid w:val="66582833"/>
    <w:rsid w:val="667557A4"/>
    <w:rsid w:val="669F5C50"/>
    <w:rsid w:val="66C66E69"/>
    <w:rsid w:val="66E9246C"/>
    <w:rsid w:val="673D3AD3"/>
    <w:rsid w:val="676E3F85"/>
    <w:rsid w:val="67AA791C"/>
    <w:rsid w:val="681253D0"/>
    <w:rsid w:val="68464F3B"/>
    <w:rsid w:val="684A64D9"/>
    <w:rsid w:val="685A6D95"/>
    <w:rsid w:val="689B44E8"/>
    <w:rsid w:val="68A32F09"/>
    <w:rsid w:val="68B94F59"/>
    <w:rsid w:val="68C0194D"/>
    <w:rsid w:val="68C65D6E"/>
    <w:rsid w:val="68DA5ADD"/>
    <w:rsid w:val="68DC1A4F"/>
    <w:rsid w:val="68F2680E"/>
    <w:rsid w:val="69107A14"/>
    <w:rsid w:val="6924250F"/>
    <w:rsid w:val="69271690"/>
    <w:rsid w:val="694C0E55"/>
    <w:rsid w:val="6959691A"/>
    <w:rsid w:val="696033A5"/>
    <w:rsid w:val="696533DD"/>
    <w:rsid w:val="696973C3"/>
    <w:rsid w:val="696F027E"/>
    <w:rsid w:val="698E4AF7"/>
    <w:rsid w:val="69A16F46"/>
    <w:rsid w:val="69C55233"/>
    <w:rsid w:val="69EB0D20"/>
    <w:rsid w:val="6A624D6D"/>
    <w:rsid w:val="6A8C667E"/>
    <w:rsid w:val="6A932B4B"/>
    <w:rsid w:val="6AE866A8"/>
    <w:rsid w:val="6AF619D0"/>
    <w:rsid w:val="6B0146A4"/>
    <w:rsid w:val="6B051D29"/>
    <w:rsid w:val="6B087F5F"/>
    <w:rsid w:val="6B676306"/>
    <w:rsid w:val="6B6D718E"/>
    <w:rsid w:val="6B711B7A"/>
    <w:rsid w:val="6BC8556D"/>
    <w:rsid w:val="6BD43669"/>
    <w:rsid w:val="6BE8725E"/>
    <w:rsid w:val="6C152647"/>
    <w:rsid w:val="6C156D2D"/>
    <w:rsid w:val="6C187585"/>
    <w:rsid w:val="6C255D33"/>
    <w:rsid w:val="6C2F6077"/>
    <w:rsid w:val="6C3345BF"/>
    <w:rsid w:val="6C6608D6"/>
    <w:rsid w:val="6C7D5484"/>
    <w:rsid w:val="6C9852E5"/>
    <w:rsid w:val="6C992705"/>
    <w:rsid w:val="6CD858AC"/>
    <w:rsid w:val="6CFA7D7F"/>
    <w:rsid w:val="6D66521C"/>
    <w:rsid w:val="6D6F33E7"/>
    <w:rsid w:val="6D8D7A35"/>
    <w:rsid w:val="6DAA549B"/>
    <w:rsid w:val="6DBD1347"/>
    <w:rsid w:val="6E2A7591"/>
    <w:rsid w:val="6E4F523E"/>
    <w:rsid w:val="6E5729A2"/>
    <w:rsid w:val="6E583A1F"/>
    <w:rsid w:val="6EAA495D"/>
    <w:rsid w:val="6EAB742B"/>
    <w:rsid w:val="6EAE1C55"/>
    <w:rsid w:val="6EB0558D"/>
    <w:rsid w:val="6EC6113E"/>
    <w:rsid w:val="6EC97476"/>
    <w:rsid w:val="6EFF1080"/>
    <w:rsid w:val="6F170E2C"/>
    <w:rsid w:val="6F1C670B"/>
    <w:rsid w:val="6F213326"/>
    <w:rsid w:val="6F3A22A7"/>
    <w:rsid w:val="6F45287E"/>
    <w:rsid w:val="6F68200A"/>
    <w:rsid w:val="6FFA1CBF"/>
    <w:rsid w:val="70396FD5"/>
    <w:rsid w:val="70531535"/>
    <w:rsid w:val="70BF0D6E"/>
    <w:rsid w:val="70E01DD1"/>
    <w:rsid w:val="71146B51"/>
    <w:rsid w:val="71147230"/>
    <w:rsid w:val="71161C74"/>
    <w:rsid w:val="71597165"/>
    <w:rsid w:val="717256AD"/>
    <w:rsid w:val="718544F1"/>
    <w:rsid w:val="71976406"/>
    <w:rsid w:val="71DE2066"/>
    <w:rsid w:val="71E95523"/>
    <w:rsid w:val="720A152D"/>
    <w:rsid w:val="721F1D01"/>
    <w:rsid w:val="7222649A"/>
    <w:rsid w:val="72837B28"/>
    <w:rsid w:val="72D11304"/>
    <w:rsid w:val="730C4186"/>
    <w:rsid w:val="7341102A"/>
    <w:rsid w:val="736156E9"/>
    <w:rsid w:val="736B0572"/>
    <w:rsid w:val="737974C3"/>
    <w:rsid w:val="73A17E6A"/>
    <w:rsid w:val="73E16D57"/>
    <w:rsid w:val="73EE0AE6"/>
    <w:rsid w:val="7453624B"/>
    <w:rsid w:val="746049BA"/>
    <w:rsid w:val="74874E5A"/>
    <w:rsid w:val="74A227F4"/>
    <w:rsid w:val="74A2568B"/>
    <w:rsid w:val="74BA5E3A"/>
    <w:rsid w:val="74C47F76"/>
    <w:rsid w:val="74FD32BB"/>
    <w:rsid w:val="753D4FBB"/>
    <w:rsid w:val="754046A1"/>
    <w:rsid w:val="754E3DD7"/>
    <w:rsid w:val="7573132B"/>
    <w:rsid w:val="757934F0"/>
    <w:rsid w:val="75C80FD3"/>
    <w:rsid w:val="75DC3A8B"/>
    <w:rsid w:val="76021882"/>
    <w:rsid w:val="76160679"/>
    <w:rsid w:val="761715C6"/>
    <w:rsid w:val="766574D1"/>
    <w:rsid w:val="767C3DB4"/>
    <w:rsid w:val="768F2CE9"/>
    <w:rsid w:val="76DE1045"/>
    <w:rsid w:val="771463D1"/>
    <w:rsid w:val="774A39DA"/>
    <w:rsid w:val="776C147A"/>
    <w:rsid w:val="77777CEB"/>
    <w:rsid w:val="779B02BA"/>
    <w:rsid w:val="77C26F72"/>
    <w:rsid w:val="77CA4292"/>
    <w:rsid w:val="77D64484"/>
    <w:rsid w:val="77E922B4"/>
    <w:rsid w:val="78081990"/>
    <w:rsid w:val="781A58E7"/>
    <w:rsid w:val="7833145C"/>
    <w:rsid w:val="786258A4"/>
    <w:rsid w:val="787A60AB"/>
    <w:rsid w:val="78CE1FD7"/>
    <w:rsid w:val="78D0463B"/>
    <w:rsid w:val="7906595E"/>
    <w:rsid w:val="7917686A"/>
    <w:rsid w:val="794B7201"/>
    <w:rsid w:val="795B0ABE"/>
    <w:rsid w:val="798B1783"/>
    <w:rsid w:val="79B2108A"/>
    <w:rsid w:val="7A417E6A"/>
    <w:rsid w:val="7A707A80"/>
    <w:rsid w:val="7A92024C"/>
    <w:rsid w:val="7A98347A"/>
    <w:rsid w:val="7AA222D1"/>
    <w:rsid w:val="7B0B5BD1"/>
    <w:rsid w:val="7B930658"/>
    <w:rsid w:val="7BA53398"/>
    <w:rsid w:val="7BC71689"/>
    <w:rsid w:val="7BE20360"/>
    <w:rsid w:val="7C1A1A2B"/>
    <w:rsid w:val="7C234DEF"/>
    <w:rsid w:val="7C435CA9"/>
    <w:rsid w:val="7C78688F"/>
    <w:rsid w:val="7C867510"/>
    <w:rsid w:val="7CF01DBB"/>
    <w:rsid w:val="7CF510C4"/>
    <w:rsid w:val="7D21376C"/>
    <w:rsid w:val="7D622331"/>
    <w:rsid w:val="7D8B198E"/>
    <w:rsid w:val="7D934831"/>
    <w:rsid w:val="7DD75B87"/>
    <w:rsid w:val="7DFC7E2B"/>
    <w:rsid w:val="7E122B46"/>
    <w:rsid w:val="7E262275"/>
    <w:rsid w:val="7E2676D0"/>
    <w:rsid w:val="7E4F73AA"/>
    <w:rsid w:val="7E654A6D"/>
    <w:rsid w:val="7E74200D"/>
    <w:rsid w:val="7E7B6F9A"/>
    <w:rsid w:val="7EA22277"/>
    <w:rsid w:val="7EC63541"/>
    <w:rsid w:val="7EE65A74"/>
    <w:rsid w:val="7EED4B13"/>
    <w:rsid w:val="7F8B1A78"/>
    <w:rsid w:val="7FA418D8"/>
    <w:rsid w:val="7FA92784"/>
    <w:rsid w:val="7FDD57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kern w:val="2"/>
      <w:sz w:val="21"/>
      <w:szCs w:val="24"/>
      <w:lang w:val="en-US" w:eastAsia="zh-CN" w:bidi="ar-SA"/>
    </w:rPr>
  </w:style>
  <w:style w:type="paragraph" w:styleId="3">
    <w:name w:val="heading 1"/>
    <w:basedOn w:val="1"/>
    <w:next w:val="1"/>
    <w:link w:val="35"/>
    <w:qFormat/>
    <w:uiPriority w:val="0"/>
    <w:pPr>
      <w:keepNext/>
      <w:keepLines/>
      <w:spacing w:before="120" w:after="120"/>
      <w:jc w:val="center"/>
      <w:outlineLvl w:val="0"/>
    </w:pPr>
    <w:rPr>
      <w:b/>
      <w:kern w:val="44"/>
      <w:sz w:val="44"/>
    </w:rPr>
  </w:style>
  <w:style w:type="paragraph" w:styleId="4">
    <w:name w:val="heading 2"/>
    <w:basedOn w:val="1"/>
    <w:next w:val="1"/>
    <w:qFormat/>
    <w:uiPriority w:val="0"/>
    <w:pPr>
      <w:keepNext/>
      <w:keepLines/>
      <w:spacing w:before="140" w:after="140" w:line="413" w:lineRule="auto"/>
      <w:jc w:val="center"/>
      <w:outlineLvl w:val="1"/>
    </w:pPr>
    <w:rPr>
      <w:rFonts w:ascii="Arial" w:hAnsi="Arial"/>
      <w:b/>
      <w:sz w:val="28"/>
    </w:rPr>
  </w:style>
  <w:style w:type="paragraph" w:styleId="5">
    <w:name w:val="heading 4"/>
    <w:basedOn w:val="1"/>
    <w:next w:val="1"/>
    <w:qFormat/>
    <w:uiPriority w:val="0"/>
    <w:pPr>
      <w:keepNext/>
      <w:keepLines/>
      <w:outlineLvl w:val="3"/>
    </w:pPr>
    <w:rPr>
      <w:rFonts w:ascii="Arial" w:hAnsi="Arial" w:eastAsia="黑体"/>
      <w:bCs/>
      <w:kern w:val="0"/>
      <w:sz w:val="24"/>
      <w:szCs w:val="28"/>
    </w:rPr>
  </w:style>
  <w:style w:type="character" w:default="1" w:styleId="21">
    <w:name w:val="Default Paragraph Font"/>
    <w:unhideWhenUsed/>
    <w:uiPriority w:val="1"/>
  </w:style>
  <w:style w:type="table" w:default="1" w:styleId="19">
    <w:name w:val="Normal Table"/>
    <w:unhideWhenUsed/>
    <w:uiPriority w:val="99"/>
    <w:tblPr>
      <w:tblStyle w:val="19"/>
      <w:tblCellMar>
        <w:top w:w="0" w:type="dxa"/>
        <w:left w:w="108" w:type="dxa"/>
        <w:bottom w:w="0" w:type="dxa"/>
        <w:right w:w="108" w:type="dxa"/>
      </w:tblCellMar>
    </w:tblPr>
  </w:style>
  <w:style w:type="paragraph" w:styleId="2">
    <w:name w:val="Body Text"/>
    <w:basedOn w:val="1"/>
    <w:next w:val="1"/>
    <w:qFormat/>
    <w:uiPriority w:val="1"/>
    <w:pPr>
      <w:spacing w:before="5"/>
    </w:pPr>
    <w:rPr>
      <w:rFonts w:ascii="仿宋" w:hAnsi="仿宋" w:eastAsia="仿宋" w:cs="仿宋"/>
      <w:b/>
      <w:bCs/>
      <w:sz w:val="36"/>
      <w:szCs w:val="36"/>
      <w:lang w:val="zh-CN" w:eastAsia="zh-CN" w:bidi="zh-CN"/>
    </w:rPr>
  </w:style>
  <w:style w:type="paragraph" w:styleId="6">
    <w:name w:val="Document Map"/>
    <w:basedOn w:val="1"/>
    <w:link w:val="36"/>
    <w:qFormat/>
    <w:uiPriority w:val="0"/>
    <w:rPr>
      <w:rFonts w:ascii="宋体" w:eastAsia="宋体"/>
      <w:sz w:val="18"/>
      <w:szCs w:val="18"/>
    </w:rPr>
  </w:style>
  <w:style w:type="paragraph" w:styleId="7">
    <w:name w:val="annotation text"/>
    <w:basedOn w:val="1"/>
    <w:link w:val="37"/>
    <w:unhideWhenUsed/>
    <w:qFormat/>
    <w:uiPriority w:val="99"/>
    <w:pPr>
      <w:jc w:val="left"/>
    </w:pPr>
  </w:style>
  <w:style w:type="paragraph" w:styleId="8">
    <w:name w:val="Body Text Indent"/>
    <w:basedOn w:val="1"/>
    <w:next w:val="9"/>
    <w:qFormat/>
    <w:uiPriority w:val="0"/>
    <w:pPr>
      <w:spacing w:line="360" w:lineRule="auto"/>
      <w:ind w:firstLine="480" w:firstLineChars="200"/>
    </w:pPr>
    <w:rPr>
      <w:rFonts w:ascii="宋体"/>
      <w:sz w:val="24"/>
      <w:szCs w:val="20"/>
    </w:rPr>
  </w:style>
  <w:style w:type="paragraph" w:styleId="9">
    <w:name w:val="Body Text First Indent 2"/>
    <w:basedOn w:val="8"/>
    <w:qFormat/>
    <w:uiPriority w:val="0"/>
    <w:pPr>
      <w:tabs>
        <w:tab w:val="left" w:pos="720"/>
      </w:tabs>
      <w:spacing w:line="240" w:lineRule="auto"/>
      <w:ind w:left="420" w:leftChars="200" w:firstLine="420"/>
    </w:pPr>
    <w:rPr>
      <w:rFonts w:ascii="Times New Roman"/>
      <w:sz w:val="21"/>
    </w:rPr>
  </w:style>
  <w:style w:type="paragraph" w:styleId="10">
    <w:name w:val="Plain Text"/>
    <w:basedOn w:val="1"/>
    <w:qFormat/>
    <w:uiPriority w:val="99"/>
    <w:rPr>
      <w:rFonts w:ascii="宋体" w:hAnsi="Courier New" w:cs="Courier New"/>
      <w:szCs w:val="21"/>
    </w:rPr>
  </w:style>
  <w:style w:type="paragraph" w:styleId="11">
    <w:name w:val="Date"/>
    <w:basedOn w:val="1"/>
    <w:next w:val="1"/>
    <w:qFormat/>
    <w:uiPriority w:val="0"/>
    <w:pPr>
      <w:ind w:left="100" w:leftChars="2500"/>
    </w:pPr>
    <w:rPr>
      <w:rFonts w:ascii="Calibri" w:hAnsi="Calibri"/>
    </w:rPr>
  </w:style>
  <w:style w:type="paragraph" w:styleId="12">
    <w:name w:val="Balloon Text"/>
    <w:basedOn w:val="1"/>
    <w:link w:val="38"/>
    <w:qFormat/>
    <w:uiPriority w:val="0"/>
    <w:rPr>
      <w:sz w:val="18"/>
      <w:szCs w:val="18"/>
    </w:rPr>
  </w:style>
  <w:style w:type="paragraph" w:styleId="13">
    <w:name w:val="footer"/>
    <w:basedOn w:val="1"/>
    <w:link w:val="39"/>
    <w:qFormat/>
    <w:uiPriority w:val="99"/>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17">
    <w:name w:val="annotation subject"/>
    <w:basedOn w:val="7"/>
    <w:next w:val="7"/>
    <w:link w:val="40"/>
    <w:qFormat/>
    <w:uiPriority w:val="0"/>
    <w:rPr>
      <w:b/>
      <w:bCs/>
    </w:rPr>
  </w:style>
  <w:style w:type="paragraph" w:styleId="18">
    <w:name w:val="Body Text First Indent"/>
    <w:basedOn w:val="2"/>
    <w:qFormat/>
    <w:uiPriority w:val="0"/>
    <w:pPr>
      <w:spacing w:after="0"/>
    </w:pPr>
    <w:rPr>
      <w:rFonts w:ascii="Times New Roman" w:hAnsi="Times New Roman" w:eastAsia="仿宋" w:cs="Times New Roman"/>
      <w:sz w:val="24"/>
      <w:szCs w:val="24"/>
    </w:rPr>
  </w:style>
  <w:style w:type="table" w:styleId="20">
    <w:name w:val="Table Grid"/>
    <w:basedOn w:val="19"/>
    <w:qFormat/>
    <w:uiPriority w:val="0"/>
    <w:pPr>
      <w:widowControl w:val="0"/>
      <w:jc w:val="both"/>
    </w:pPr>
    <w:tblPr>
      <w:tblStyle w:val="1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FollowedHyperlink"/>
    <w:basedOn w:val="21"/>
    <w:uiPriority w:val="0"/>
    <w:rPr>
      <w:color w:val="800080"/>
      <w:u w:val="none"/>
    </w:rPr>
  </w:style>
  <w:style w:type="character" w:styleId="24">
    <w:name w:val="Emphasis"/>
    <w:basedOn w:val="21"/>
    <w:qFormat/>
    <w:uiPriority w:val="0"/>
    <w:rPr>
      <w:b/>
    </w:rPr>
  </w:style>
  <w:style w:type="character" w:styleId="25">
    <w:name w:val="HTML Definition"/>
    <w:basedOn w:val="21"/>
    <w:uiPriority w:val="0"/>
  </w:style>
  <w:style w:type="character" w:styleId="26">
    <w:name w:val="HTML Typewriter"/>
    <w:basedOn w:val="21"/>
    <w:uiPriority w:val="0"/>
    <w:rPr>
      <w:rFonts w:hint="default" w:ascii="monospace" w:hAnsi="monospace" w:eastAsia="monospace" w:cs="monospace"/>
      <w:sz w:val="20"/>
    </w:rPr>
  </w:style>
  <w:style w:type="character" w:styleId="27">
    <w:name w:val="HTML Acronym"/>
    <w:basedOn w:val="21"/>
    <w:uiPriority w:val="0"/>
  </w:style>
  <w:style w:type="character" w:styleId="28">
    <w:name w:val="HTML Variable"/>
    <w:basedOn w:val="21"/>
    <w:uiPriority w:val="0"/>
  </w:style>
  <w:style w:type="character" w:styleId="29">
    <w:name w:val="Hyperlink"/>
    <w:basedOn w:val="21"/>
    <w:qFormat/>
    <w:uiPriority w:val="0"/>
    <w:rPr>
      <w:color w:val="0000FF"/>
      <w:u w:val="none"/>
    </w:rPr>
  </w:style>
  <w:style w:type="character" w:styleId="30">
    <w:name w:val="HTML Code"/>
    <w:basedOn w:val="21"/>
    <w:uiPriority w:val="0"/>
    <w:rPr>
      <w:rFonts w:hint="default" w:ascii="monospace" w:hAnsi="monospace" w:eastAsia="monospace" w:cs="monospace"/>
      <w:sz w:val="20"/>
      <w:shd w:val="clear" w:color="auto" w:fill="4394DA"/>
    </w:rPr>
  </w:style>
  <w:style w:type="character" w:styleId="31">
    <w:name w:val="annotation reference"/>
    <w:unhideWhenUsed/>
    <w:qFormat/>
    <w:uiPriority w:val="99"/>
    <w:rPr>
      <w:sz w:val="21"/>
      <w:szCs w:val="21"/>
    </w:rPr>
  </w:style>
  <w:style w:type="character" w:styleId="32">
    <w:name w:val="HTML Cite"/>
    <w:basedOn w:val="21"/>
    <w:uiPriority w:val="0"/>
  </w:style>
  <w:style w:type="character" w:styleId="33">
    <w:name w:val="HTML Keyboard"/>
    <w:basedOn w:val="21"/>
    <w:uiPriority w:val="0"/>
    <w:rPr>
      <w:rFonts w:ascii="monospace" w:hAnsi="monospace" w:eastAsia="monospace" w:cs="monospace"/>
      <w:sz w:val="20"/>
    </w:rPr>
  </w:style>
  <w:style w:type="character" w:styleId="34">
    <w:name w:val="HTML Sample"/>
    <w:basedOn w:val="21"/>
    <w:uiPriority w:val="0"/>
    <w:rPr>
      <w:rFonts w:hint="default" w:ascii="monospace" w:hAnsi="monospace" w:eastAsia="monospace" w:cs="monospace"/>
    </w:rPr>
  </w:style>
  <w:style w:type="character" w:customStyle="1" w:styleId="35">
    <w:name w:val="标题 1 字符"/>
    <w:link w:val="3"/>
    <w:qFormat/>
    <w:uiPriority w:val="0"/>
    <w:rPr>
      <w:rFonts w:ascii="Calibri" w:hAnsi="Calibri" w:eastAsia="仿宋" w:cs="Times New Roman"/>
      <w:b/>
      <w:kern w:val="44"/>
      <w:sz w:val="44"/>
      <w:szCs w:val="24"/>
    </w:rPr>
  </w:style>
  <w:style w:type="character" w:customStyle="1" w:styleId="36">
    <w:name w:val="文档结构图 字符"/>
    <w:link w:val="6"/>
    <w:qFormat/>
    <w:uiPriority w:val="0"/>
    <w:rPr>
      <w:rFonts w:ascii="宋体" w:hAnsi="Calibri" w:cs="Times New Roman"/>
      <w:kern w:val="2"/>
      <w:sz w:val="18"/>
      <w:szCs w:val="18"/>
    </w:rPr>
  </w:style>
  <w:style w:type="character" w:customStyle="1" w:styleId="37">
    <w:name w:val="批注文字 字符"/>
    <w:link w:val="7"/>
    <w:qFormat/>
    <w:uiPriority w:val="99"/>
    <w:rPr>
      <w:rFonts w:ascii="Calibri" w:hAnsi="Calibri" w:eastAsia="仿宋" w:cs="Times New Roman"/>
      <w:kern w:val="2"/>
      <w:sz w:val="21"/>
      <w:szCs w:val="24"/>
    </w:rPr>
  </w:style>
  <w:style w:type="character" w:customStyle="1" w:styleId="38">
    <w:name w:val="批注框文本 字符"/>
    <w:link w:val="12"/>
    <w:qFormat/>
    <w:uiPriority w:val="0"/>
    <w:rPr>
      <w:rFonts w:ascii="Calibri" w:hAnsi="Calibri" w:eastAsia="仿宋" w:cs="Times New Roman"/>
      <w:kern w:val="2"/>
      <w:sz w:val="18"/>
      <w:szCs w:val="18"/>
    </w:rPr>
  </w:style>
  <w:style w:type="character" w:customStyle="1" w:styleId="39">
    <w:name w:val="页脚 字符"/>
    <w:link w:val="13"/>
    <w:uiPriority w:val="99"/>
    <w:rPr>
      <w:rFonts w:eastAsia="仿宋"/>
      <w:kern w:val="2"/>
      <w:sz w:val="18"/>
      <w:szCs w:val="24"/>
    </w:rPr>
  </w:style>
  <w:style w:type="character" w:customStyle="1" w:styleId="40">
    <w:name w:val="批注主题 字符"/>
    <w:link w:val="17"/>
    <w:qFormat/>
    <w:uiPriority w:val="0"/>
    <w:rPr>
      <w:rFonts w:ascii="Calibri" w:hAnsi="Calibri" w:eastAsia="仿宋" w:cs="Times New Roman"/>
      <w:b/>
      <w:bCs/>
      <w:kern w:val="2"/>
      <w:sz w:val="21"/>
      <w:szCs w:val="24"/>
    </w:rPr>
  </w:style>
  <w:style w:type="paragraph" w:customStyle="1" w:styleId="41">
    <w:name w:val="正文 New New New New New New New New New New New New New New New"/>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一级条标题"/>
    <w:basedOn w:val="43"/>
    <w:next w:val="44"/>
    <w:qFormat/>
    <w:uiPriority w:val="0"/>
    <w:pPr>
      <w:spacing w:line="240" w:lineRule="auto"/>
      <w:ind w:left="420"/>
      <w:outlineLvl w:val="2"/>
    </w:pPr>
  </w:style>
  <w:style w:type="paragraph" w:customStyle="1" w:styleId="43">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44">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45">
    <w:name w:val="mini-outputtext1"/>
    <w:basedOn w:val="21"/>
    <w:uiPriority w:val="0"/>
  </w:style>
  <w:style w:type="paragraph" w:customStyle="1" w:styleId="46">
    <w:name w:val="样式"/>
    <w:qFormat/>
    <w:uiPriority w:val="0"/>
    <w:pPr>
      <w:widowControl w:val="0"/>
      <w:autoSpaceDE w:val="0"/>
      <w:autoSpaceDN w:val="0"/>
      <w:adjustRightInd w:val="0"/>
    </w:pPr>
    <w:rPr>
      <w:rFonts w:ascii="宋体" w:hAnsi="宋体" w:cs="宋体"/>
      <w:sz w:val="24"/>
      <w:szCs w:val="24"/>
      <w:lang w:val="en-US" w:eastAsia="zh-CN" w:bidi="ar-SA"/>
    </w:rPr>
  </w:style>
  <w:style w:type="paragraph" w:customStyle="1" w:styleId="47">
    <w:name w:val="样式N"/>
    <w:basedOn w:val="48"/>
    <w:qFormat/>
    <w:uiPriority w:val="0"/>
    <w:rPr>
      <w:sz w:val="30"/>
    </w:rPr>
  </w:style>
  <w:style w:type="paragraph" w:customStyle="1" w:styleId="48">
    <w:name w:val="样式H"/>
    <w:basedOn w:val="3"/>
    <w:next w:val="1"/>
    <w:qFormat/>
    <w:uiPriority w:val="0"/>
    <w:pPr>
      <w:spacing w:before="100" w:line="500" w:lineRule="exact"/>
    </w:pPr>
  </w:style>
  <w:style w:type="paragraph" w:customStyle="1" w:styleId="49">
    <w:name w:val="WPSOffice手动目录 2"/>
    <w:qFormat/>
    <w:uiPriority w:val="0"/>
    <w:pPr>
      <w:ind w:left="200" w:leftChars="200"/>
    </w:pPr>
    <w:rPr>
      <w:lang w:val="en-US" w:eastAsia="zh-CN" w:bidi="ar-SA"/>
    </w:rPr>
  </w:style>
  <w:style w:type="paragraph" w:customStyle="1" w:styleId="50">
    <w:name w:val="列出段落11"/>
    <w:basedOn w:val="1"/>
    <w:qFormat/>
    <w:uiPriority w:val="34"/>
    <w:pPr>
      <w:ind w:firstLine="420" w:firstLineChars="200"/>
    </w:pPr>
    <w:rPr>
      <w:rFonts w:ascii="Calibri" w:hAnsi="Calibri" w:eastAsia="宋体" w:cs="Times New Roman"/>
      <w:szCs w:val="22"/>
      <w:lang w:val="zh-CN"/>
    </w:rPr>
  </w:style>
  <w:style w:type="paragraph" w:styleId="51">
    <w:name w:val="List Paragraph"/>
    <w:basedOn w:val="1"/>
    <w:qFormat/>
    <w:uiPriority w:val="34"/>
    <w:pPr>
      <w:ind w:firstLine="420" w:firstLineChars="200"/>
    </w:pPr>
  </w:style>
  <w:style w:type="paragraph" w:customStyle="1" w:styleId="52">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53">
    <w:name w:val="WPSOffice手动目录 3"/>
    <w:qFormat/>
    <w:uiPriority w:val="0"/>
    <w:pPr>
      <w:ind w:left="400" w:leftChars="400"/>
    </w:pPr>
    <w:rPr>
      <w:lang w:val="en-US" w:eastAsia="zh-CN" w:bidi="ar-SA"/>
    </w:rPr>
  </w:style>
  <w:style w:type="paragraph" w:customStyle="1" w:styleId="54">
    <w:name w:val="Table Paragraph"/>
    <w:basedOn w:val="1"/>
    <w:qFormat/>
    <w:uiPriority w:val="1"/>
    <w:rPr>
      <w:rFonts w:ascii="宋体" w:hAnsi="宋体" w:eastAsia="宋体" w:cs="宋体"/>
      <w:lang w:val="zh-CN" w:eastAsia="zh-CN" w:bidi="zh-CN"/>
    </w:rPr>
  </w:style>
  <w:style w:type="paragraph" w:customStyle="1" w:styleId="55">
    <w:name w:val="WPSOffice手动目录 1"/>
    <w:qFormat/>
    <w:uiPriority w:val="0"/>
    <w:rPr>
      <w:rFonts w:ascii="Times New Roman" w:hAnsi="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61</Pages>
  <Words>32254</Words>
  <Characters>34404</Characters>
  <Lines>267</Lines>
  <Paragraphs>75</Paragraphs>
  <TotalTime>79</TotalTime>
  <ScaleCrop>false</ScaleCrop>
  <LinksUpToDate>false</LinksUpToDate>
  <CharactersWithSpaces>36651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2019-11-26T12:18:00Z</dcterms:created>
  <dc:creator>meimei</dc:creator>
  <cp:lastModifiedBy>乐天无忧</cp:lastModifiedBy>
  <cp:lastPrinted>2022-07-16T08:15:38Z</cp:lastPrinted>
  <dcterms:modified xsi:type="dcterms:W3CDTF">2022-08-01T08:01:23Z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F18FD943AAD34D449B79E66937D94C40</vt:lpwstr>
  </property>
</Properties>
</file>