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仿宋简体" w:hAnsi="宋体" w:eastAsia="方正仿宋简体"/>
          <w:kern w:val="2"/>
          <w:sz w:val="32"/>
          <w:szCs w:val="32"/>
        </w:rPr>
      </w:pPr>
      <w:bookmarkStart w:id="504" w:name="_GoBack"/>
      <w:bookmarkEnd w:id="504"/>
      <w:r>
        <w:rPr>
          <w:lang/>
        </w:rPr>
        <w:drawing>
          <wp:anchor distT="0" distB="0" distL="114300" distR="114300" simplePos="0" relativeHeight="251659264" behindDoc="0" locked="0" layoutInCell="1" allowOverlap="1">
            <wp:simplePos x="0" y="0"/>
            <wp:positionH relativeFrom="column">
              <wp:posOffset>66040</wp:posOffset>
            </wp:positionH>
            <wp:positionV relativeFrom="paragraph">
              <wp:posOffset>-1905</wp:posOffset>
            </wp:positionV>
            <wp:extent cx="685800" cy="594360"/>
            <wp:effectExtent l="0" t="0" r="0" b="15240"/>
            <wp:wrapNone/>
            <wp:docPr id="1" name="图片 2" descr="log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0"/>
                    <pic:cNvPicPr>
                      <a:picLocks noChangeAspect="1"/>
                    </pic:cNvPicPr>
                  </pic:nvPicPr>
                  <pic:blipFill>
                    <a:blip r:embed="rId18"/>
                    <a:stretch>
                      <a:fillRect/>
                    </a:stretch>
                  </pic:blipFill>
                  <pic:spPr>
                    <a:xfrm>
                      <a:off x="0" y="0"/>
                      <a:ext cx="685800" cy="594360"/>
                    </a:xfrm>
                    <a:prstGeom prst="rect">
                      <a:avLst/>
                    </a:prstGeom>
                    <a:noFill/>
                    <a:ln>
                      <a:noFill/>
                    </a:ln>
                  </pic:spPr>
                </pic:pic>
              </a:graphicData>
            </a:graphic>
          </wp:anchor>
        </w:drawing>
      </w:r>
      <w:r>
        <w:rPr>
          <w:rFonts w:hint="eastAsia" w:ascii="方正仿宋简体" w:hAnsi="宋体" w:eastAsia="方正仿宋简体"/>
          <w:kern w:val="2"/>
          <w:sz w:val="32"/>
          <w:szCs w:val="32"/>
        </w:rPr>
        <w:t>·</w:t>
      </w:r>
    </w:p>
    <w:p>
      <w:pPr>
        <w:spacing w:line="560" w:lineRule="exact"/>
        <w:rPr>
          <w:rFonts w:ascii="方正仿宋简体" w:hAnsi="宋体" w:eastAsia="方正仿宋简体"/>
          <w:kern w:val="2"/>
          <w:sz w:val="32"/>
          <w:szCs w:val="32"/>
        </w:rPr>
      </w:pPr>
    </w:p>
    <w:p/>
    <w:p>
      <w:pPr>
        <w:spacing w:line="560" w:lineRule="exact"/>
        <w:rPr>
          <w:sz w:val="20"/>
        </w:rPr>
      </w:pPr>
    </w:p>
    <w:p>
      <w:pPr>
        <w:spacing w:line="560" w:lineRule="exact"/>
        <w:jc w:val="center"/>
        <w:rPr>
          <w:rFonts w:hint="eastAsia" w:hAnsi="宋体"/>
          <w:b/>
          <w:bCs/>
          <w:kern w:val="2"/>
          <w:sz w:val="44"/>
          <w:szCs w:val="44"/>
        </w:rPr>
      </w:pPr>
      <w:r>
        <w:rPr>
          <w:rFonts w:hint="eastAsia" w:hAnsi="宋体"/>
          <w:b/>
          <w:bCs/>
          <w:kern w:val="2"/>
          <w:sz w:val="44"/>
          <w:szCs w:val="44"/>
        </w:rPr>
        <w:t>辽河石油勘探局有限公司物资分公司</w:t>
      </w:r>
    </w:p>
    <w:p>
      <w:pPr>
        <w:spacing w:line="560" w:lineRule="exact"/>
        <w:jc w:val="center"/>
        <w:rPr>
          <w:rFonts w:hint="eastAsia" w:hAnsi="宋体"/>
          <w:b/>
          <w:bCs/>
          <w:kern w:val="2"/>
          <w:sz w:val="44"/>
          <w:szCs w:val="44"/>
        </w:rPr>
      </w:pPr>
    </w:p>
    <w:p>
      <w:pPr>
        <w:spacing w:line="560" w:lineRule="exact"/>
        <w:jc w:val="center"/>
        <w:rPr>
          <w:rFonts w:hint="eastAsia" w:ascii="仿宋_GB2312" w:hAnsi="宋体" w:eastAsia="仿宋_GB2312"/>
          <w:b/>
          <w:color w:val="FF0000"/>
          <w:kern w:val="2"/>
          <w:sz w:val="28"/>
          <w:szCs w:val="28"/>
        </w:rPr>
      </w:pPr>
      <w:r>
        <w:rPr>
          <w:rFonts w:hint="eastAsia" w:ascii="仿宋_GB2312" w:hAnsi="宋体" w:eastAsia="仿宋_GB2312"/>
          <w:b/>
          <w:color w:val="FF0000"/>
          <w:kern w:val="2"/>
          <w:sz w:val="28"/>
          <w:szCs w:val="28"/>
        </w:rPr>
        <w:t>2022年二级物资集中采购32大类电线</w:t>
      </w:r>
      <w:r>
        <w:rPr>
          <w:rFonts w:hint="eastAsia" w:ascii="仿宋_GB2312" w:hAnsi="宋体" w:eastAsia="仿宋_GB2312"/>
          <w:b/>
          <w:color w:val="FF0000"/>
          <w:spacing w:val="-20"/>
          <w:kern w:val="2"/>
          <w:sz w:val="28"/>
          <w:szCs w:val="28"/>
        </w:rPr>
        <w:t>（JC2022-WⅡ-32-03包）</w:t>
      </w:r>
    </w:p>
    <w:p>
      <w:pPr>
        <w:spacing w:line="560" w:lineRule="exact"/>
        <w:jc w:val="center"/>
        <w:rPr>
          <w:rFonts w:ascii="仿宋_GB2312" w:hAnsi="宋体" w:eastAsia="仿宋_GB2312"/>
          <w:b/>
          <w:color w:val="FF0000"/>
          <w:kern w:val="2"/>
          <w:sz w:val="28"/>
          <w:szCs w:val="28"/>
        </w:rPr>
      </w:pPr>
    </w:p>
    <w:p>
      <w:pPr>
        <w:spacing w:line="560" w:lineRule="exact"/>
        <w:jc w:val="center"/>
        <w:rPr>
          <w:rFonts w:hAnsi="宋体"/>
          <w:b/>
          <w:bCs/>
          <w:kern w:val="2"/>
          <w:sz w:val="44"/>
          <w:szCs w:val="44"/>
        </w:rPr>
      </w:pPr>
      <w:r>
        <w:rPr>
          <w:rFonts w:hint="eastAsia" w:ascii="仿宋_GB2312" w:hAnsi="宋体" w:eastAsia="仿宋_GB2312"/>
          <w:b/>
          <w:kern w:val="2"/>
          <w:sz w:val="28"/>
          <w:szCs w:val="28"/>
        </w:rPr>
        <w:t xml:space="preserve"> </w:t>
      </w:r>
      <w:r>
        <w:rPr>
          <w:rFonts w:hAnsi="宋体"/>
          <w:b/>
          <w:bCs/>
          <w:kern w:val="2"/>
          <w:sz w:val="44"/>
          <w:szCs w:val="44"/>
        </w:rPr>
        <w:t xml:space="preserve">    </w:t>
      </w:r>
    </w:p>
    <w:p>
      <w:pPr>
        <w:spacing w:line="560" w:lineRule="exact"/>
        <w:rPr>
          <w:rFonts w:ascii="楷体_GB2312" w:eastAsia="楷体_GB2312"/>
          <w:sz w:val="20"/>
        </w:rPr>
      </w:pPr>
    </w:p>
    <w:p>
      <w:pPr>
        <w:autoSpaceDE/>
        <w:autoSpaceDN/>
        <w:adjustRightInd/>
        <w:spacing w:line="360" w:lineRule="auto"/>
        <w:jc w:val="center"/>
        <w:rPr>
          <w:rFonts w:hint="eastAsia" w:ascii="Times New Roman"/>
          <w:b/>
          <w:kern w:val="2"/>
          <w:sz w:val="84"/>
          <w:szCs w:val="84"/>
        </w:rPr>
      </w:pPr>
      <w:r>
        <w:rPr>
          <w:rFonts w:hint="eastAsia" w:ascii="Times New Roman"/>
          <w:b/>
          <w:kern w:val="2"/>
          <w:sz w:val="84"/>
          <w:szCs w:val="84"/>
        </w:rPr>
        <w:t>招</w:t>
      </w:r>
      <w:r>
        <w:rPr>
          <w:rFonts w:ascii="Times New Roman"/>
          <w:b/>
          <w:kern w:val="2"/>
          <w:sz w:val="84"/>
          <w:szCs w:val="84"/>
        </w:rPr>
        <w:t xml:space="preserve"> </w:t>
      </w:r>
      <w:r>
        <w:rPr>
          <w:rFonts w:hint="eastAsia" w:ascii="Times New Roman"/>
          <w:b/>
          <w:kern w:val="2"/>
          <w:sz w:val="84"/>
          <w:szCs w:val="84"/>
        </w:rPr>
        <w:t>标</w:t>
      </w:r>
      <w:r>
        <w:rPr>
          <w:rFonts w:ascii="Times New Roman"/>
          <w:b/>
          <w:kern w:val="2"/>
          <w:sz w:val="84"/>
          <w:szCs w:val="84"/>
        </w:rPr>
        <w:t xml:space="preserve"> </w:t>
      </w:r>
      <w:r>
        <w:rPr>
          <w:rFonts w:hint="eastAsia" w:ascii="Times New Roman"/>
          <w:b/>
          <w:kern w:val="2"/>
          <w:sz w:val="84"/>
          <w:szCs w:val="84"/>
        </w:rPr>
        <w:t>文</w:t>
      </w:r>
      <w:r>
        <w:rPr>
          <w:rFonts w:ascii="Times New Roman"/>
          <w:b/>
          <w:kern w:val="2"/>
          <w:sz w:val="84"/>
          <w:szCs w:val="84"/>
        </w:rPr>
        <w:t xml:space="preserve"> </w:t>
      </w:r>
      <w:r>
        <w:rPr>
          <w:rFonts w:hint="eastAsia" w:ascii="Times New Roman"/>
          <w:b/>
          <w:kern w:val="2"/>
          <w:sz w:val="84"/>
          <w:szCs w:val="84"/>
        </w:rPr>
        <w:t>件</w:t>
      </w:r>
    </w:p>
    <w:p>
      <w:pPr>
        <w:tabs>
          <w:tab w:val="left" w:pos="4935"/>
        </w:tabs>
        <w:spacing w:line="560" w:lineRule="exact"/>
        <w:ind w:firstLine="2590" w:firstLineChars="860"/>
        <w:jc w:val="both"/>
        <w:rPr>
          <w:rFonts w:hint="eastAsia" w:hAnsi="宋体"/>
          <w:b/>
          <w:color w:val="FF0000"/>
          <w:kern w:val="2"/>
          <w:sz w:val="30"/>
          <w:szCs w:val="30"/>
        </w:rPr>
      </w:pPr>
      <w:r>
        <w:rPr>
          <w:rFonts w:hint="eastAsia" w:hAnsi="宋体"/>
          <w:b/>
          <w:kern w:val="2"/>
          <w:sz w:val="30"/>
          <w:szCs w:val="30"/>
        </w:rPr>
        <w:t>招标编号：</w:t>
      </w:r>
      <w:r>
        <w:rPr>
          <w:rFonts w:hint="eastAsia" w:hAnsi="宋体"/>
          <w:b/>
          <w:color w:val="FF0000"/>
          <w:kern w:val="2"/>
          <w:sz w:val="30"/>
          <w:szCs w:val="30"/>
        </w:rPr>
        <w:t>LHZB2-2022-W011</w:t>
      </w:r>
    </w:p>
    <w:p>
      <w:pPr>
        <w:tabs>
          <w:tab w:val="left" w:pos="4935"/>
        </w:tabs>
        <w:spacing w:line="560" w:lineRule="exact"/>
        <w:ind w:firstLine="2590" w:firstLineChars="860"/>
        <w:jc w:val="both"/>
        <w:rPr>
          <w:rFonts w:hint="eastAsia" w:hAnsi="宋体"/>
          <w:b/>
          <w:kern w:val="2"/>
          <w:sz w:val="30"/>
          <w:szCs w:val="30"/>
        </w:rPr>
      </w:pPr>
    </w:p>
    <w:p>
      <w:pPr>
        <w:tabs>
          <w:tab w:val="left" w:pos="4935"/>
        </w:tabs>
        <w:spacing w:line="560" w:lineRule="exact"/>
        <w:ind w:firstLine="2590" w:firstLineChars="860"/>
        <w:jc w:val="both"/>
        <w:rPr>
          <w:rFonts w:hint="eastAsia" w:hAnsi="宋体"/>
          <w:b/>
          <w:kern w:val="2"/>
          <w:sz w:val="30"/>
          <w:szCs w:val="30"/>
        </w:rPr>
      </w:pPr>
    </w:p>
    <w:p>
      <w:pPr>
        <w:spacing w:line="560" w:lineRule="exact"/>
        <w:jc w:val="center"/>
        <w:rPr>
          <w:rFonts w:ascii="楷体_GB2312" w:eastAsia="楷体_GB2312"/>
          <w:b/>
          <w:sz w:val="27"/>
          <w:szCs w:val="27"/>
        </w:rPr>
      </w:pPr>
    </w:p>
    <w:p>
      <w:pPr>
        <w:spacing w:line="560" w:lineRule="exact"/>
        <w:jc w:val="center"/>
        <w:rPr>
          <w:rFonts w:ascii="楷体_GB2312" w:hAnsi="Garamond" w:eastAsia="楷体_GB2312"/>
          <w:sz w:val="27"/>
          <w:szCs w:val="27"/>
        </w:rPr>
      </w:pPr>
    </w:p>
    <w:p>
      <w:pPr>
        <w:spacing w:line="560" w:lineRule="exact"/>
        <w:jc w:val="center"/>
        <w:rPr>
          <w:rFonts w:ascii="楷体_GB2312" w:hAnsi="Garamond" w:eastAsia="楷体_GB2312"/>
          <w:sz w:val="27"/>
          <w:szCs w:val="27"/>
        </w:rPr>
      </w:pPr>
    </w:p>
    <w:p>
      <w:pPr>
        <w:spacing w:line="560" w:lineRule="exact"/>
        <w:jc w:val="center"/>
        <w:rPr>
          <w:rFonts w:hint="eastAsia" w:ascii="楷体_GB2312" w:hAnsi="Garamond" w:eastAsia="楷体_GB2312"/>
          <w:sz w:val="27"/>
          <w:szCs w:val="27"/>
        </w:rPr>
      </w:pPr>
    </w:p>
    <w:p>
      <w:pPr>
        <w:spacing w:line="560" w:lineRule="exact"/>
        <w:jc w:val="center"/>
        <w:rPr>
          <w:rFonts w:hint="eastAsia" w:ascii="楷体_GB2312" w:hAnsi="Garamond" w:eastAsia="楷体_GB2312"/>
          <w:sz w:val="27"/>
          <w:szCs w:val="27"/>
        </w:rPr>
      </w:pPr>
    </w:p>
    <w:p>
      <w:pPr>
        <w:spacing w:line="560" w:lineRule="exact"/>
        <w:rPr>
          <w:rFonts w:ascii="楷体_GB2312" w:hAnsi="Arial Narrow" w:eastAsia="楷体_GB2312"/>
          <w:sz w:val="20"/>
        </w:rPr>
      </w:pPr>
    </w:p>
    <w:p>
      <w:pPr>
        <w:spacing w:line="560" w:lineRule="exact"/>
        <w:jc w:val="center"/>
        <w:rPr>
          <w:rFonts w:ascii="仿宋_GB2312" w:hAnsi="宋体" w:eastAsia="仿宋_GB2312"/>
          <w:b/>
          <w:kern w:val="2"/>
          <w:sz w:val="32"/>
          <w:szCs w:val="32"/>
        </w:rPr>
      </w:pPr>
      <w:r>
        <w:rPr>
          <w:rFonts w:hint="eastAsia" w:ascii="仿宋_GB2312" w:hAnsi="宋体" w:eastAsia="仿宋_GB2312"/>
          <w:b/>
          <w:kern w:val="2"/>
          <w:sz w:val="32"/>
          <w:szCs w:val="32"/>
        </w:rPr>
        <w:t>中国石油辽河油田招标中心</w:t>
      </w:r>
    </w:p>
    <w:p>
      <w:pPr>
        <w:spacing w:line="560" w:lineRule="exact"/>
        <w:jc w:val="center"/>
        <w:rPr>
          <w:rFonts w:hint="eastAsia" w:ascii="仿宋_GB2312" w:hAnsi="宋体" w:eastAsia="仿宋_GB2312"/>
          <w:b/>
          <w:color w:val="FF0000"/>
          <w:kern w:val="2"/>
          <w:sz w:val="28"/>
          <w:szCs w:val="28"/>
        </w:rPr>
      </w:pPr>
      <w:bookmarkStart w:id="0" w:name="_Hlk104988614"/>
      <w:r>
        <w:rPr>
          <w:rFonts w:hint="eastAsia" w:ascii="仿宋_GB2312" w:hAnsi="宋体" w:eastAsia="仿宋_GB2312"/>
          <w:b/>
          <w:color w:val="FF0000"/>
          <w:kern w:val="2"/>
          <w:sz w:val="28"/>
          <w:szCs w:val="28"/>
        </w:rPr>
        <w:t>二○二二年六月三十日</w:t>
      </w:r>
    </w:p>
    <w:bookmarkEnd w:id="0"/>
    <w:p>
      <w:pPr>
        <w:spacing w:line="560" w:lineRule="exact"/>
        <w:jc w:val="center"/>
        <w:rPr>
          <w:rFonts w:hAnsi="宋体"/>
          <w:b/>
          <w:sz w:val="36"/>
          <w:szCs w:val="36"/>
        </w:rPr>
      </w:pPr>
      <w:r>
        <w:rPr>
          <w:rFonts w:ascii="仿宋_GB2312" w:hAnsi="宋体" w:eastAsia="仿宋_GB2312"/>
          <w:b/>
          <w:color w:val="FF0000"/>
          <w:kern w:val="2"/>
          <w:sz w:val="28"/>
          <w:szCs w:val="28"/>
        </w:rPr>
        <w:br w:type="page"/>
      </w:r>
      <w:r>
        <w:rPr>
          <w:rFonts w:hint="eastAsia" w:ascii="黑体" w:hAnsi="宋体" w:eastAsia="黑体"/>
          <w:sz w:val="44"/>
          <w:szCs w:val="44"/>
        </w:rPr>
        <w:t>目</w:t>
      </w:r>
      <w:r>
        <w:rPr>
          <w:rFonts w:ascii="黑体" w:hAnsi="宋体" w:eastAsia="黑体"/>
          <w:sz w:val="44"/>
          <w:szCs w:val="44"/>
        </w:rPr>
        <w:t xml:space="preserve">    </w:t>
      </w:r>
      <w:r>
        <w:rPr>
          <w:rFonts w:hint="eastAsia" w:ascii="黑体" w:hAnsi="宋体" w:eastAsia="黑体"/>
          <w:sz w:val="44"/>
          <w:szCs w:val="44"/>
        </w:rPr>
        <w:t>录</w:t>
      </w:r>
    </w:p>
    <w:p>
      <w:pPr>
        <w:pStyle w:val="31"/>
        <w:tabs>
          <w:tab w:val="right" w:leader="dot" w:pos="8959"/>
        </w:tabs>
      </w:pPr>
      <w:r>
        <w:rPr>
          <w:rFonts w:ascii="黑体" w:eastAsia="黑体"/>
          <w:b w:val="0"/>
          <w:sz w:val="21"/>
          <w:szCs w:val="21"/>
        </w:rPr>
        <w:fldChar w:fldCharType="begin"/>
      </w:r>
      <w:r>
        <w:rPr>
          <w:rFonts w:ascii="黑体" w:eastAsia="黑体"/>
          <w:b w:val="0"/>
          <w:sz w:val="21"/>
          <w:szCs w:val="21"/>
        </w:rPr>
        <w:instrText xml:space="preserve"> TOC \o "1-3" \h \z \u </w:instrText>
      </w:r>
      <w:r>
        <w:rPr>
          <w:rFonts w:ascii="黑体" w:eastAsia="黑体"/>
          <w:b w:val="0"/>
          <w:sz w:val="21"/>
          <w:szCs w:val="21"/>
        </w:rPr>
        <w:fldChar w:fldCharType="separate"/>
      </w:r>
      <w:r>
        <w:rPr>
          <w:rFonts w:ascii="黑体" w:eastAsia="黑体"/>
          <w:szCs w:val="21"/>
        </w:rPr>
        <w:fldChar w:fldCharType="begin"/>
      </w:r>
      <w:r>
        <w:rPr>
          <w:rFonts w:ascii="黑体" w:eastAsia="黑体"/>
          <w:szCs w:val="21"/>
        </w:rPr>
        <w:instrText xml:space="preserve"> HYPERLINK \l _Toc12351 </w:instrText>
      </w:r>
      <w:r>
        <w:rPr>
          <w:rFonts w:ascii="黑体" w:eastAsia="黑体"/>
          <w:szCs w:val="21"/>
        </w:rPr>
        <w:fldChar w:fldCharType="separate"/>
      </w:r>
      <w:r>
        <w:rPr>
          <w:rFonts w:hint="eastAsia"/>
        </w:rPr>
        <w:t>第一章 招标公告</w:t>
      </w:r>
      <w:r>
        <w:tab/>
      </w:r>
      <w:r>
        <w:fldChar w:fldCharType="begin"/>
      </w:r>
      <w:r>
        <w:instrText xml:space="preserve"> PAGEREF _Toc12351 \h </w:instrText>
      </w:r>
      <w:r>
        <w:fldChar w:fldCharType="separate"/>
      </w:r>
      <w:r>
        <w:rPr>
          <w:lang/>
        </w:rPr>
        <w:t>1</w:t>
      </w:r>
      <w:r>
        <w:fldChar w:fldCharType="end"/>
      </w:r>
      <w:r>
        <w:rPr>
          <w:rFonts w:ascii="黑体" w:eastAsia="黑体"/>
          <w:szCs w:val="21"/>
        </w:rPr>
        <w:fldChar w:fldCharType="end"/>
      </w:r>
    </w:p>
    <w:p>
      <w:pPr>
        <w:pStyle w:val="38"/>
        <w:tabs>
          <w:tab w:val="right" w:leader="dot" w:pos="8959"/>
          <w:tab w:val="clear" w:pos="8949"/>
        </w:tabs>
      </w:pPr>
      <w:r>
        <w:rPr>
          <w:rFonts w:ascii="黑体"/>
        </w:rPr>
        <w:fldChar w:fldCharType="begin"/>
      </w:r>
      <w:r>
        <w:rPr>
          <w:rFonts w:ascii="黑体"/>
        </w:rPr>
        <w:instrText xml:space="preserve"> HYPERLINK \l _Toc6005 </w:instrText>
      </w:r>
      <w:r>
        <w:rPr>
          <w:rFonts w:ascii="黑体"/>
        </w:rPr>
        <w:fldChar w:fldCharType="separate"/>
      </w:r>
      <w:r>
        <w:rPr>
          <w:rFonts w:ascii="宋体" w:hAnsi="宋体"/>
          <w:kern w:val="2"/>
          <w:szCs w:val="21"/>
        </w:rPr>
        <w:t>一、招标</w:t>
      </w:r>
      <w:bookmarkStart w:id="1" w:name="_Hlt107485163"/>
      <w:bookmarkStart w:id="2" w:name="_Hlt107485162"/>
      <w:r>
        <w:rPr>
          <w:rFonts w:ascii="宋体" w:hAnsi="宋体"/>
          <w:kern w:val="2"/>
          <w:szCs w:val="21"/>
        </w:rPr>
        <w:t>条</w:t>
      </w:r>
      <w:bookmarkEnd w:id="1"/>
      <w:bookmarkEnd w:id="2"/>
      <w:r>
        <w:rPr>
          <w:rFonts w:ascii="宋体" w:hAnsi="宋体"/>
          <w:kern w:val="2"/>
          <w:szCs w:val="21"/>
        </w:rPr>
        <w:t>件</w:t>
      </w:r>
      <w:r>
        <w:tab/>
      </w:r>
      <w:r>
        <w:fldChar w:fldCharType="begin"/>
      </w:r>
      <w:r>
        <w:instrText xml:space="preserve"> PAGEREF _Toc6005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_Toc1472 </w:instrText>
      </w:r>
      <w:r>
        <w:rPr>
          <w:rFonts w:ascii="黑体"/>
        </w:rPr>
        <w:fldChar w:fldCharType="separate"/>
      </w:r>
      <w:r>
        <w:rPr>
          <w:rFonts w:hint="eastAsia" w:ascii="宋体" w:hAnsi="宋体"/>
          <w:kern w:val="2"/>
          <w:szCs w:val="21"/>
        </w:rPr>
        <w:t>二、项目概况与招标范围</w:t>
      </w:r>
      <w:r>
        <w:tab/>
      </w:r>
      <w:r>
        <w:fldChar w:fldCharType="begin"/>
      </w:r>
      <w:r>
        <w:instrText xml:space="preserve"> PAGEREF _Toc1472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_Toc25222 </w:instrText>
      </w:r>
      <w:r>
        <w:rPr>
          <w:rFonts w:ascii="黑体"/>
        </w:rPr>
        <w:fldChar w:fldCharType="separate"/>
      </w:r>
      <w:r>
        <w:rPr>
          <w:rFonts w:hint="eastAsia" w:ascii="宋体" w:hAnsi="宋体"/>
          <w:kern w:val="2"/>
          <w:szCs w:val="21"/>
        </w:rPr>
        <w:t>三、投标人资格要求</w:t>
      </w:r>
      <w:r>
        <w:tab/>
      </w:r>
      <w:r>
        <w:fldChar w:fldCharType="begin"/>
      </w:r>
      <w:r>
        <w:instrText xml:space="preserve"> PAGEREF _Toc25222 \h </w:instrText>
      </w:r>
      <w:r>
        <w:fldChar w:fldCharType="separate"/>
      </w:r>
      <w:r>
        <w:rPr>
          <w:lang/>
        </w:rPr>
        <w:t>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_Toc23282 </w:instrText>
      </w:r>
      <w:r>
        <w:rPr>
          <w:rFonts w:ascii="黑体"/>
        </w:rPr>
        <w:fldChar w:fldCharType="separate"/>
      </w:r>
      <w:r>
        <w:rPr>
          <w:rFonts w:hint="eastAsia" w:ascii="宋体" w:hAnsi="宋体"/>
          <w:kern w:val="2"/>
          <w:szCs w:val="21"/>
        </w:rPr>
        <w:t>四、招标文件的获取</w:t>
      </w:r>
      <w:r>
        <w:tab/>
      </w:r>
      <w:r>
        <w:fldChar w:fldCharType="begin"/>
      </w:r>
      <w:r>
        <w:instrText xml:space="preserve"> PAGEREF _Toc23282 \h </w:instrText>
      </w:r>
      <w:r>
        <w:fldChar w:fldCharType="separate"/>
      </w:r>
      <w:r>
        <w:rPr>
          <w:lang/>
        </w:rPr>
        <w:t>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_Toc29793 </w:instrText>
      </w:r>
      <w:r>
        <w:rPr>
          <w:rFonts w:ascii="黑体"/>
        </w:rPr>
        <w:fldChar w:fldCharType="separate"/>
      </w:r>
      <w:r>
        <w:rPr>
          <w:rFonts w:hint="eastAsia" w:ascii="宋体" w:hAnsi="宋体"/>
          <w:kern w:val="2"/>
          <w:szCs w:val="21"/>
        </w:rPr>
        <w:t>五、投标文件的递交</w:t>
      </w:r>
      <w:r>
        <w:tab/>
      </w:r>
      <w:r>
        <w:fldChar w:fldCharType="begin"/>
      </w:r>
      <w:r>
        <w:instrText xml:space="preserve"> PAGEREF _Toc29793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_Toc21292 </w:instrText>
      </w:r>
      <w:r>
        <w:rPr>
          <w:rFonts w:ascii="黑体"/>
        </w:rPr>
        <w:fldChar w:fldCharType="separate"/>
      </w:r>
      <w:r>
        <w:rPr>
          <w:rFonts w:hint="eastAsia" w:ascii="宋体" w:hAnsi="宋体"/>
          <w:kern w:val="2"/>
          <w:szCs w:val="21"/>
        </w:rPr>
        <w:t>六、</w:t>
      </w:r>
      <w:r>
        <w:rPr>
          <w:rFonts w:ascii="宋体" w:hAnsi="宋体"/>
          <w:kern w:val="2"/>
          <w:szCs w:val="21"/>
        </w:rPr>
        <w:t>发布公告的媒体</w:t>
      </w:r>
      <w:r>
        <w:tab/>
      </w:r>
      <w:r>
        <w:fldChar w:fldCharType="begin"/>
      </w:r>
      <w:r>
        <w:instrText xml:space="preserve"> PAGEREF _Toc21292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_Toc23543 </w:instrText>
      </w:r>
      <w:r>
        <w:rPr>
          <w:rFonts w:ascii="黑体"/>
        </w:rPr>
        <w:fldChar w:fldCharType="separate"/>
      </w:r>
      <w:r>
        <w:rPr>
          <w:rFonts w:hint="eastAsia" w:ascii="宋体" w:hAnsi="宋体"/>
          <w:kern w:val="2"/>
          <w:szCs w:val="21"/>
        </w:rPr>
        <w:t>七、招标代理服务费</w:t>
      </w:r>
      <w:r>
        <w:tab/>
      </w:r>
      <w:r>
        <w:fldChar w:fldCharType="begin"/>
      </w:r>
      <w:r>
        <w:instrText xml:space="preserve"> PAGEREF _Toc23543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_Toc7874 </w:instrText>
      </w:r>
      <w:r>
        <w:rPr>
          <w:rFonts w:ascii="黑体"/>
        </w:rPr>
        <w:fldChar w:fldCharType="separate"/>
      </w:r>
      <w:r>
        <w:rPr>
          <w:rFonts w:hint="eastAsia" w:ascii="宋体" w:hAnsi="宋体"/>
          <w:kern w:val="2"/>
          <w:szCs w:val="21"/>
        </w:rPr>
        <w:t>八、开标</w:t>
      </w:r>
      <w:r>
        <w:tab/>
      </w:r>
      <w:r>
        <w:fldChar w:fldCharType="begin"/>
      </w:r>
      <w:r>
        <w:instrText xml:space="preserve"> PAGEREF _Toc7874 \h </w:instrText>
      </w:r>
      <w:r>
        <w:fldChar w:fldCharType="separate"/>
      </w:r>
      <w:r>
        <w:rPr>
          <w:lang/>
        </w:rPr>
        <w:t>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_Toc6344 </w:instrText>
      </w:r>
      <w:r>
        <w:rPr>
          <w:rFonts w:ascii="黑体"/>
        </w:rPr>
        <w:fldChar w:fldCharType="separate"/>
      </w:r>
      <w:r>
        <w:rPr>
          <w:rFonts w:hint="eastAsia" w:ascii="宋体" w:hAnsi="宋体"/>
          <w:kern w:val="2"/>
          <w:szCs w:val="21"/>
        </w:rPr>
        <w:t>九、联系方式</w:t>
      </w:r>
      <w:r>
        <w:tab/>
      </w:r>
      <w:r>
        <w:fldChar w:fldCharType="begin"/>
      </w:r>
      <w:r>
        <w:instrText xml:space="preserve"> PAGEREF _Toc6344 \h </w:instrText>
      </w:r>
      <w:r>
        <w:fldChar w:fldCharType="separate"/>
      </w:r>
      <w:r>
        <w:rPr>
          <w:lang/>
        </w:rPr>
        <w:t>4</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_Toc5554 </w:instrText>
      </w:r>
      <w:r>
        <w:rPr>
          <w:rFonts w:ascii="黑体"/>
        </w:rPr>
        <w:fldChar w:fldCharType="separate"/>
      </w:r>
      <w:r>
        <w:rPr>
          <w:rFonts w:hint="eastAsia" w:ascii="宋体" w:hAnsi="宋体"/>
          <w:kern w:val="2"/>
          <w:szCs w:val="21"/>
        </w:rPr>
        <w:t>十、附件</w:t>
      </w:r>
      <w:r>
        <w:tab/>
      </w:r>
      <w:r>
        <w:fldChar w:fldCharType="begin"/>
      </w:r>
      <w:r>
        <w:instrText xml:space="preserve"> PAGEREF _Toc5554 \h </w:instrText>
      </w:r>
      <w:r>
        <w:fldChar w:fldCharType="separate"/>
      </w:r>
      <w:r>
        <w:rPr>
          <w:lang/>
        </w:rPr>
        <w:t>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_Toc1906 </w:instrText>
      </w:r>
      <w:r>
        <w:rPr>
          <w:rFonts w:ascii="黑体"/>
        </w:rPr>
        <w:fldChar w:fldCharType="separate"/>
      </w:r>
      <w:r>
        <w:rPr>
          <w:rFonts w:hint="eastAsia"/>
        </w:rPr>
        <w:t>第二章</w:t>
      </w:r>
      <w:r>
        <w:t xml:space="preserve"> </w:t>
      </w:r>
      <w:r>
        <w:rPr>
          <w:rFonts w:hint="eastAsia"/>
        </w:rPr>
        <w:t>投标人须知前附表</w:t>
      </w:r>
      <w:r>
        <w:tab/>
      </w:r>
      <w:r>
        <w:fldChar w:fldCharType="begin"/>
      </w:r>
      <w:r>
        <w:instrText xml:space="preserve"> PAGEREF _Toc1906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_Toc15467 </w:instrText>
      </w:r>
      <w:r>
        <w:rPr>
          <w:rFonts w:ascii="黑体"/>
        </w:rPr>
        <w:fldChar w:fldCharType="separate"/>
      </w:r>
      <w:r>
        <w:rPr>
          <w:rFonts w:ascii="宋体" w:hAnsi="宋体"/>
          <w:kern w:val="2"/>
          <w:szCs w:val="21"/>
        </w:rPr>
        <w:t xml:space="preserve">1. </w:t>
      </w:r>
      <w:r>
        <w:rPr>
          <w:rFonts w:hint="eastAsia" w:ascii="宋体" w:hAnsi="宋体"/>
          <w:kern w:val="2"/>
          <w:szCs w:val="21"/>
        </w:rPr>
        <w:t>说明</w:t>
      </w:r>
      <w:r>
        <w:tab/>
      </w:r>
      <w:r>
        <w:fldChar w:fldCharType="begin"/>
      </w:r>
      <w:r>
        <w:instrText xml:space="preserve"> PAGEREF _Toc15467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_Toc29639 </w:instrText>
      </w:r>
      <w:r>
        <w:rPr>
          <w:rFonts w:ascii="黑体"/>
        </w:rPr>
        <w:fldChar w:fldCharType="separate"/>
      </w:r>
      <w:r>
        <w:rPr>
          <w:rFonts w:ascii="宋体" w:hAnsi="宋体"/>
          <w:kern w:val="2"/>
          <w:szCs w:val="21"/>
        </w:rPr>
        <w:t xml:space="preserve">2. </w:t>
      </w:r>
      <w:r>
        <w:rPr>
          <w:rFonts w:hint="eastAsia" w:ascii="宋体" w:hAnsi="宋体"/>
          <w:kern w:val="2"/>
          <w:szCs w:val="21"/>
        </w:rPr>
        <w:t>招标文件</w:t>
      </w:r>
      <w:r>
        <w:tab/>
      </w:r>
      <w:r>
        <w:fldChar w:fldCharType="begin"/>
      </w:r>
      <w:r>
        <w:instrText xml:space="preserve"> PAGEREF _Toc29639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_Toc11279 </w:instrText>
      </w:r>
      <w:r>
        <w:rPr>
          <w:rFonts w:ascii="黑体"/>
        </w:rPr>
        <w:fldChar w:fldCharType="separate"/>
      </w:r>
      <w:r>
        <w:rPr>
          <w:rFonts w:ascii="宋体" w:hAnsi="宋体"/>
          <w:kern w:val="2"/>
          <w:szCs w:val="21"/>
        </w:rPr>
        <w:t xml:space="preserve">3. </w:t>
      </w:r>
      <w:r>
        <w:rPr>
          <w:rFonts w:hint="eastAsia" w:ascii="宋体" w:hAnsi="宋体"/>
          <w:kern w:val="2"/>
          <w:szCs w:val="21"/>
        </w:rPr>
        <w:t>投标文件的编制</w:t>
      </w:r>
      <w:r>
        <w:tab/>
      </w:r>
      <w:r>
        <w:fldChar w:fldCharType="begin"/>
      </w:r>
      <w:r>
        <w:instrText xml:space="preserve"> PAGEREF _Toc11279 \h </w:instrText>
      </w:r>
      <w:r>
        <w:fldChar w:fldCharType="separate"/>
      </w:r>
      <w:r>
        <w:rPr>
          <w:lang/>
        </w:rPr>
        <w:t>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_Toc1168 </w:instrText>
      </w:r>
      <w:r>
        <w:rPr>
          <w:rFonts w:ascii="黑体"/>
        </w:rPr>
        <w:fldChar w:fldCharType="separate"/>
      </w:r>
      <w:r>
        <w:rPr>
          <w:rFonts w:hint="eastAsia" w:ascii="宋体" w:hAnsi="宋体"/>
          <w:kern w:val="2"/>
          <w:szCs w:val="21"/>
        </w:rPr>
        <w:t>4</w:t>
      </w:r>
      <w:r>
        <w:rPr>
          <w:rFonts w:ascii="宋体" w:hAnsi="宋体"/>
          <w:kern w:val="2"/>
          <w:szCs w:val="21"/>
        </w:rPr>
        <w:t xml:space="preserve">. </w:t>
      </w:r>
      <w:r>
        <w:rPr>
          <w:rFonts w:hint="eastAsia" w:ascii="宋体" w:hAnsi="宋体"/>
          <w:kern w:val="2"/>
          <w:szCs w:val="21"/>
        </w:rPr>
        <w:t>开标与评标</w:t>
      </w:r>
      <w:r>
        <w:tab/>
      </w:r>
      <w:r>
        <w:fldChar w:fldCharType="begin"/>
      </w:r>
      <w:r>
        <w:instrText xml:space="preserve"> PAGEREF _Toc1168 \h </w:instrText>
      </w:r>
      <w:r>
        <w:fldChar w:fldCharType="separate"/>
      </w:r>
      <w:r>
        <w:rPr>
          <w:lang/>
        </w:rPr>
        <w:t>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_Toc25006 </w:instrText>
      </w:r>
      <w:r>
        <w:rPr>
          <w:rFonts w:ascii="黑体"/>
        </w:rPr>
        <w:fldChar w:fldCharType="separate"/>
      </w:r>
      <w:r>
        <w:rPr>
          <w:rFonts w:hint="eastAsia" w:ascii="宋体" w:hAnsi="宋体"/>
          <w:kern w:val="2"/>
          <w:szCs w:val="21"/>
        </w:rPr>
        <w:t>5</w:t>
      </w:r>
      <w:r>
        <w:rPr>
          <w:rFonts w:ascii="宋体" w:hAnsi="宋体"/>
          <w:kern w:val="2"/>
          <w:szCs w:val="21"/>
        </w:rPr>
        <w:t xml:space="preserve">. </w:t>
      </w:r>
      <w:r>
        <w:rPr>
          <w:rFonts w:hint="eastAsia" w:ascii="宋体" w:hAnsi="宋体"/>
          <w:kern w:val="2"/>
          <w:szCs w:val="21"/>
        </w:rPr>
        <w:t>授予合同</w:t>
      </w:r>
      <w:r>
        <w:tab/>
      </w:r>
      <w:r>
        <w:fldChar w:fldCharType="begin"/>
      </w:r>
      <w:r>
        <w:instrText xml:space="preserve"> PAGEREF _Toc25006 \h </w:instrText>
      </w:r>
      <w:r>
        <w:fldChar w:fldCharType="separate"/>
      </w:r>
      <w:r>
        <w:rPr>
          <w:lang/>
        </w:rPr>
        <w:t>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_Toc5733 </w:instrText>
      </w:r>
      <w:r>
        <w:rPr>
          <w:rFonts w:ascii="黑体"/>
        </w:rPr>
        <w:fldChar w:fldCharType="separate"/>
      </w:r>
      <w:r>
        <w:rPr>
          <w:rFonts w:hint="eastAsia" w:ascii="宋体" w:hAnsi="宋体"/>
          <w:kern w:val="2"/>
          <w:szCs w:val="21"/>
        </w:rPr>
        <w:t>6</w:t>
      </w:r>
      <w:r>
        <w:rPr>
          <w:rFonts w:ascii="宋体" w:hAnsi="宋体"/>
          <w:kern w:val="2"/>
          <w:szCs w:val="21"/>
        </w:rPr>
        <w:t xml:space="preserve">. </w:t>
      </w:r>
      <w:r>
        <w:rPr>
          <w:rFonts w:hint="eastAsia" w:ascii="宋体" w:hAnsi="宋体"/>
          <w:kern w:val="2"/>
          <w:szCs w:val="21"/>
        </w:rPr>
        <w:t>适用于本投标人须知的额外增加变动</w:t>
      </w:r>
      <w:r>
        <w:tab/>
      </w:r>
      <w:r>
        <w:fldChar w:fldCharType="begin"/>
      </w:r>
      <w:r>
        <w:instrText xml:space="preserve"> PAGEREF _Toc5733 \h </w:instrText>
      </w:r>
      <w:r>
        <w:fldChar w:fldCharType="separate"/>
      </w:r>
      <w:r>
        <w:rPr>
          <w:lang/>
        </w:rPr>
        <w:t>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_Toc21561 </w:instrText>
      </w:r>
      <w:r>
        <w:rPr>
          <w:rFonts w:ascii="黑体"/>
        </w:rPr>
        <w:fldChar w:fldCharType="separate"/>
      </w:r>
      <w:r>
        <w:rPr>
          <w:rFonts w:hint="eastAsia"/>
        </w:rPr>
        <w:t>第三章</w:t>
      </w:r>
      <w:r>
        <w:t xml:space="preserve">  </w:t>
      </w:r>
      <w:r>
        <w:rPr>
          <w:rFonts w:hint="eastAsia"/>
        </w:rPr>
        <w:t>投标人须知</w:t>
      </w:r>
      <w:r>
        <w:tab/>
      </w:r>
      <w:r>
        <w:fldChar w:fldCharType="begin"/>
      </w:r>
      <w:r>
        <w:instrText xml:space="preserve"> PAGEREF _Toc21561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_Toc1602 </w:instrText>
      </w:r>
      <w:r>
        <w:rPr>
          <w:rFonts w:ascii="黑体"/>
        </w:rPr>
        <w:fldChar w:fldCharType="separate"/>
      </w:r>
      <w:r>
        <w:rPr>
          <w:rFonts w:ascii="宋体" w:hAnsi="宋体"/>
          <w:kern w:val="2"/>
          <w:szCs w:val="21"/>
        </w:rPr>
        <w:t>1.</w:t>
      </w:r>
      <w:r>
        <w:rPr>
          <w:rFonts w:hint="eastAsia" w:ascii="宋体" w:hAnsi="宋体"/>
          <w:kern w:val="2"/>
          <w:szCs w:val="21"/>
        </w:rPr>
        <w:t>说明</w:t>
      </w:r>
      <w:r>
        <w:tab/>
      </w:r>
      <w:r>
        <w:fldChar w:fldCharType="begin"/>
      </w:r>
      <w:r>
        <w:instrText xml:space="preserve"> PAGEREF _Toc1602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_Toc28489 </w:instrText>
      </w:r>
      <w:r>
        <w:rPr>
          <w:rFonts w:ascii="黑体"/>
        </w:rPr>
        <w:fldChar w:fldCharType="separate"/>
      </w:r>
      <w:r>
        <w:rPr>
          <w:rFonts w:ascii="宋体" w:hAnsi="宋体"/>
          <w:kern w:val="2"/>
          <w:szCs w:val="21"/>
        </w:rPr>
        <w:t>2.</w:t>
      </w:r>
      <w:r>
        <w:rPr>
          <w:rFonts w:hint="eastAsia" w:ascii="宋体" w:hAnsi="宋体"/>
          <w:kern w:val="2"/>
          <w:szCs w:val="21"/>
        </w:rPr>
        <w:t>招标文件</w:t>
      </w:r>
      <w:r>
        <w:tab/>
      </w:r>
      <w:r>
        <w:fldChar w:fldCharType="begin"/>
      </w:r>
      <w:r>
        <w:instrText xml:space="preserve"> PAGEREF _Toc28489 \h </w:instrText>
      </w:r>
      <w:r>
        <w:fldChar w:fldCharType="separate"/>
      </w:r>
      <w:r>
        <w:rPr>
          <w:lang/>
        </w:rPr>
        <w:t>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_Toc12734 </w:instrText>
      </w:r>
      <w:r>
        <w:rPr>
          <w:rFonts w:ascii="黑体"/>
        </w:rPr>
        <w:fldChar w:fldCharType="separate"/>
      </w:r>
      <w:r>
        <w:rPr>
          <w:rFonts w:ascii="宋体" w:hAnsi="宋体"/>
          <w:kern w:val="2"/>
          <w:szCs w:val="21"/>
        </w:rPr>
        <w:t>3.</w:t>
      </w:r>
      <w:r>
        <w:rPr>
          <w:rFonts w:hint="eastAsia" w:ascii="宋体" w:hAnsi="宋体"/>
          <w:kern w:val="2"/>
          <w:szCs w:val="21"/>
        </w:rPr>
        <w:t>投标文件的编制</w:t>
      </w:r>
      <w:r>
        <w:tab/>
      </w:r>
      <w:r>
        <w:fldChar w:fldCharType="begin"/>
      </w:r>
      <w:r>
        <w:instrText xml:space="preserve"> PAGEREF _Toc12734 \h </w:instrText>
      </w:r>
      <w:r>
        <w:fldChar w:fldCharType="separate"/>
      </w:r>
      <w:r>
        <w:rPr>
          <w:lang/>
        </w:rPr>
        <w:t>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_Toc16624 </w:instrText>
      </w:r>
      <w:r>
        <w:rPr>
          <w:rFonts w:ascii="黑体"/>
        </w:rPr>
        <w:fldChar w:fldCharType="separate"/>
      </w:r>
      <w:r>
        <w:rPr>
          <w:rFonts w:hint="eastAsia" w:ascii="宋体" w:hAnsi="宋体"/>
          <w:kern w:val="2"/>
          <w:szCs w:val="21"/>
        </w:rPr>
        <w:t>4.投标</w:t>
      </w:r>
      <w:r>
        <w:tab/>
      </w:r>
      <w:r>
        <w:fldChar w:fldCharType="begin"/>
      </w:r>
      <w:r>
        <w:instrText xml:space="preserve"> PAGEREF _Toc16624 \h </w:instrText>
      </w:r>
      <w:r>
        <w:fldChar w:fldCharType="separate"/>
      </w:r>
      <w:r>
        <w:rPr>
          <w:lang/>
        </w:rPr>
        <w:t>11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_Toc25109 </w:instrText>
      </w:r>
      <w:r>
        <w:rPr>
          <w:rFonts w:ascii="黑体"/>
        </w:rPr>
        <w:fldChar w:fldCharType="separate"/>
      </w:r>
      <w:r>
        <w:rPr>
          <w:rFonts w:ascii="宋体" w:hAnsi="宋体"/>
          <w:kern w:val="2"/>
          <w:szCs w:val="21"/>
        </w:rPr>
        <w:t>5.</w:t>
      </w:r>
      <w:r>
        <w:rPr>
          <w:rFonts w:hint="eastAsia" w:ascii="宋体" w:hAnsi="宋体"/>
          <w:kern w:val="2"/>
          <w:szCs w:val="21"/>
        </w:rPr>
        <w:t>开标</w:t>
      </w:r>
      <w:r>
        <w:tab/>
      </w:r>
      <w:r>
        <w:fldChar w:fldCharType="begin"/>
      </w:r>
      <w:r>
        <w:instrText xml:space="preserve"> PAGEREF _Toc25109 \h </w:instrText>
      </w:r>
      <w:r>
        <w:fldChar w:fldCharType="separate"/>
      </w:r>
      <w:r>
        <w:rPr>
          <w:lang/>
        </w:rPr>
        <w:t>12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_Toc23334 </w:instrText>
      </w:r>
      <w:r>
        <w:rPr>
          <w:rFonts w:ascii="黑体"/>
        </w:rPr>
        <w:fldChar w:fldCharType="separate"/>
      </w:r>
      <w:r>
        <w:rPr>
          <w:rFonts w:ascii="宋体" w:hAnsi="宋体"/>
          <w:kern w:val="2"/>
          <w:szCs w:val="21"/>
        </w:rPr>
        <w:t>6.</w:t>
      </w:r>
      <w:r>
        <w:rPr>
          <w:rFonts w:hint="eastAsia" w:ascii="宋体" w:hAnsi="宋体"/>
          <w:kern w:val="2"/>
          <w:szCs w:val="21"/>
        </w:rPr>
        <w:t>评标</w:t>
      </w:r>
      <w:r>
        <w:tab/>
      </w:r>
      <w:r>
        <w:fldChar w:fldCharType="begin"/>
      </w:r>
      <w:r>
        <w:instrText xml:space="preserve"> PAGEREF _Toc23334 \h </w:instrText>
      </w:r>
      <w:r>
        <w:fldChar w:fldCharType="separate"/>
      </w:r>
      <w:r>
        <w:rPr>
          <w:lang/>
        </w:rPr>
        <w:t>12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_Toc16482 </w:instrText>
      </w:r>
      <w:r>
        <w:rPr>
          <w:rFonts w:ascii="黑体"/>
        </w:rPr>
        <w:fldChar w:fldCharType="separate"/>
      </w:r>
      <w:r>
        <w:rPr>
          <w:rFonts w:hint="eastAsia" w:ascii="宋体" w:hAnsi="宋体"/>
          <w:kern w:val="2"/>
          <w:szCs w:val="21"/>
        </w:rPr>
        <w:t>7</w:t>
      </w:r>
      <w:r>
        <w:rPr>
          <w:rFonts w:ascii="宋体" w:hAnsi="宋体"/>
          <w:kern w:val="2"/>
          <w:szCs w:val="21"/>
        </w:rPr>
        <w:t>.</w:t>
      </w:r>
      <w:r>
        <w:rPr>
          <w:rFonts w:hint="eastAsia" w:ascii="宋体" w:hAnsi="宋体"/>
          <w:kern w:val="2"/>
          <w:szCs w:val="21"/>
        </w:rPr>
        <w:t>授予合同</w:t>
      </w:r>
      <w:r>
        <w:tab/>
      </w:r>
      <w:r>
        <w:fldChar w:fldCharType="begin"/>
      </w:r>
      <w:r>
        <w:instrText xml:space="preserve"> PAGEREF _Toc16482 \h </w:instrText>
      </w:r>
      <w:r>
        <w:fldChar w:fldCharType="separate"/>
      </w:r>
      <w:r>
        <w:rPr>
          <w:lang/>
        </w:rPr>
        <w:t>14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_Toc11670 </w:instrText>
      </w:r>
      <w:r>
        <w:rPr>
          <w:rFonts w:ascii="黑体"/>
        </w:rPr>
        <w:fldChar w:fldCharType="separate"/>
      </w:r>
      <w:r>
        <w:t xml:space="preserve">第四章 </w:t>
      </w:r>
      <w:r>
        <w:rPr>
          <w:rFonts w:hint="eastAsia"/>
        </w:rPr>
        <w:t>投标文件样式</w:t>
      </w:r>
      <w:r>
        <w:tab/>
      </w:r>
      <w:r>
        <w:fldChar w:fldCharType="begin"/>
      </w:r>
      <w:r>
        <w:instrText xml:space="preserve"> PAGEREF _Toc11670 \h </w:instrText>
      </w:r>
      <w:r>
        <w:fldChar w:fldCharType="separate"/>
      </w:r>
      <w:r>
        <w:rPr>
          <w:lang/>
        </w:rPr>
        <w:t>16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_Toc9397 </w:instrText>
      </w:r>
      <w:r>
        <w:rPr>
          <w:rFonts w:ascii="黑体"/>
        </w:rPr>
        <w:fldChar w:fldCharType="separate"/>
      </w:r>
      <w:r>
        <w:rPr>
          <w:rFonts w:hint="eastAsia"/>
        </w:rPr>
        <w:t>格式Ⅳ-1．1投标文件封皮样式</w:t>
      </w:r>
      <w:r>
        <w:tab/>
      </w:r>
      <w:r>
        <w:fldChar w:fldCharType="begin"/>
      </w:r>
      <w:r>
        <w:instrText xml:space="preserve"> PAGEREF _Toc9397 \h </w:instrText>
      </w:r>
      <w:r>
        <w:fldChar w:fldCharType="separate"/>
      </w:r>
      <w:r>
        <w:rPr>
          <w:lang/>
        </w:rPr>
        <w:t>16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_Toc723 </w:instrText>
      </w:r>
      <w:r>
        <w:rPr>
          <w:rFonts w:ascii="黑体"/>
        </w:rPr>
        <w:fldChar w:fldCharType="separate"/>
      </w:r>
      <w:r>
        <w:rPr>
          <w:rFonts w:hint="eastAsia"/>
        </w:rPr>
        <w:t>格式Ⅳ-1．2投标文件目录样式</w:t>
      </w:r>
      <w:r>
        <w:tab/>
      </w:r>
      <w:r>
        <w:fldChar w:fldCharType="begin"/>
      </w:r>
      <w:r>
        <w:instrText xml:space="preserve"> PAGEREF _Toc723 \h </w:instrText>
      </w:r>
      <w:r>
        <w:fldChar w:fldCharType="separate"/>
      </w:r>
      <w:r>
        <w:rPr>
          <w:lang/>
        </w:rPr>
        <w:t>17</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_Toc24312 </w:instrText>
      </w:r>
      <w:r>
        <w:rPr>
          <w:rFonts w:ascii="黑体"/>
        </w:rPr>
        <w:fldChar w:fldCharType="separate"/>
      </w:r>
      <w:r>
        <w:rPr>
          <w:rFonts w:hint="eastAsia"/>
        </w:rPr>
        <w:t>格式Ⅳ-2．投标书格式</w:t>
      </w:r>
      <w:r>
        <w:tab/>
      </w:r>
      <w:r>
        <w:fldChar w:fldCharType="begin"/>
      </w:r>
      <w:r>
        <w:instrText xml:space="preserve"> PAGEREF _Toc24312 \h </w:instrText>
      </w:r>
      <w:r>
        <w:fldChar w:fldCharType="separate"/>
      </w:r>
      <w:r>
        <w:rPr>
          <w:lang/>
        </w:rPr>
        <w:t>18</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_Toc25664 </w:instrText>
      </w:r>
      <w:r>
        <w:rPr>
          <w:rFonts w:ascii="黑体"/>
        </w:rPr>
        <w:fldChar w:fldCharType="separate"/>
      </w:r>
      <w:r>
        <w:rPr>
          <w:rFonts w:hint="eastAsia"/>
        </w:rPr>
        <w:t>格式Ⅳ-3．开标一览表格式</w:t>
      </w:r>
      <w:r>
        <w:tab/>
      </w:r>
      <w:r>
        <w:fldChar w:fldCharType="begin"/>
      </w:r>
      <w:r>
        <w:instrText xml:space="preserve"> PAGEREF _Toc25664 \h </w:instrText>
      </w:r>
      <w:r>
        <w:fldChar w:fldCharType="separate"/>
      </w:r>
      <w:r>
        <w:rPr>
          <w:lang/>
        </w:rPr>
        <w:t>19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_Toc20400 </w:instrText>
      </w:r>
      <w:r>
        <w:rPr>
          <w:rFonts w:ascii="黑体"/>
        </w:rPr>
        <w:fldChar w:fldCharType="separate"/>
      </w:r>
      <w:r>
        <w:rPr>
          <w:rFonts w:hint="eastAsia"/>
        </w:rPr>
        <w:t>格式Ⅳ-4．报价表格式详见附件3</w:t>
      </w:r>
      <w:r>
        <w:tab/>
      </w:r>
      <w:r>
        <w:fldChar w:fldCharType="begin"/>
      </w:r>
      <w:r>
        <w:instrText xml:space="preserve"> PAGEREF _Toc20400 \h </w:instrText>
      </w:r>
      <w:r>
        <w:fldChar w:fldCharType="separate"/>
      </w:r>
      <w:r>
        <w:rPr>
          <w:lang/>
        </w:rPr>
        <w:t>20</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_Toc562 </w:instrText>
      </w:r>
      <w:r>
        <w:rPr>
          <w:rFonts w:ascii="黑体"/>
        </w:rPr>
        <w:fldChar w:fldCharType="separate"/>
      </w:r>
      <w:r>
        <w:rPr>
          <w:rFonts w:hint="eastAsia"/>
        </w:rPr>
        <w:t>格式Ⅳ</w:t>
      </w:r>
      <w:r>
        <w:t>-</w:t>
      </w:r>
      <w:r>
        <w:rPr>
          <w:rFonts w:hint="eastAsia"/>
        </w:rPr>
        <w:t>5．技术条款响应/偏离表格式</w:t>
      </w:r>
      <w:r>
        <w:tab/>
      </w:r>
      <w:r>
        <w:fldChar w:fldCharType="begin"/>
      </w:r>
      <w:r>
        <w:instrText xml:space="preserve"> PAGEREF _Toc562 \h </w:instrText>
      </w:r>
      <w:r>
        <w:fldChar w:fldCharType="separate"/>
      </w:r>
      <w:r>
        <w:rPr>
          <w:lang/>
        </w:rPr>
        <w:t>21</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_Toc6183 </w:instrText>
      </w:r>
      <w:r>
        <w:rPr>
          <w:rFonts w:ascii="黑体"/>
        </w:rPr>
        <w:fldChar w:fldCharType="separate"/>
      </w:r>
      <w:r>
        <w:rPr>
          <w:rFonts w:hint="eastAsia"/>
        </w:rPr>
        <w:t>格式Ⅳ</w:t>
      </w:r>
      <w:r>
        <w:t>-</w:t>
      </w:r>
      <w:r>
        <w:rPr>
          <w:rFonts w:hint="eastAsia"/>
        </w:rPr>
        <w:t>6．商务条款响应</w:t>
      </w:r>
      <w:r>
        <w:t>/</w:t>
      </w:r>
      <w:r>
        <w:rPr>
          <w:rFonts w:hint="eastAsia"/>
        </w:rPr>
        <w:t>偏离表格式</w:t>
      </w:r>
      <w:r>
        <w:tab/>
      </w:r>
      <w:r>
        <w:fldChar w:fldCharType="begin"/>
      </w:r>
      <w:r>
        <w:instrText xml:space="preserve"> PAGEREF _Toc6183 \h </w:instrText>
      </w:r>
      <w:r>
        <w:fldChar w:fldCharType="separate"/>
      </w:r>
      <w:r>
        <w:rPr>
          <w:lang/>
        </w:rPr>
        <w:t>22</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_Toc27149 </w:instrText>
      </w:r>
      <w:r>
        <w:rPr>
          <w:rFonts w:ascii="黑体"/>
        </w:rPr>
        <w:fldChar w:fldCharType="separate"/>
      </w:r>
      <w:r>
        <w:rPr>
          <w:rFonts w:hint="eastAsia"/>
        </w:rPr>
        <w:t>格式Ⅳ</w:t>
      </w:r>
      <w:r>
        <w:t>-</w:t>
      </w:r>
      <w:r>
        <w:rPr>
          <w:rFonts w:hint="eastAsia"/>
        </w:rPr>
        <w:t>7．法定代表人授权委托书格式</w:t>
      </w:r>
      <w:r>
        <w:tab/>
      </w:r>
      <w:r>
        <w:fldChar w:fldCharType="begin"/>
      </w:r>
      <w:r>
        <w:instrText xml:space="preserve"> PAGEREF _Toc27149 \h </w:instrText>
      </w:r>
      <w:r>
        <w:fldChar w:fldCharType="separate"/>
      </w:r>
      <w:r>
        <w:rPr>
          <w:lang/>
        </w:rPr>
        <w:t>23</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_Toc9341 </w:instrText>
      </w:r>
      <w:r>
        <w:rPr>
          <w:rFonts w:ascii="黑体"/>
        </w:rPr>
        <w:fldChar w:fldCharType="separate"/>
      </w:r>
      <w:r>
        <w:rPr>
          <w:rFonts w:hint="eastAsia"/>
        </w:rPr>
        <w:t>格式Ⅳ</w:t>
      </w:r>
      <w:r>
        <w:t>-</w:t>
      </w:r>
      <w:r>
        <w:rPr>
          <w:rFonts w:hint="eastAsia"/>
        </w:rPr>
        <w:t>8．资格证明文件格式</w:t>
      </w:r>
      <w:r>
        <w:tab/>
      </w:r>
      <w:r>
        <w:fldChar w:fldCharType="begin"/>
      </w:r>
      <w:r>
        <w:instrText xml:space="preserve"> PAGEREF _Toc9341 \h </w:instrText>
      </w:r>
      <w:r>
        <w:fldChar w:fldCharType="separate"/>
      </w:r>
      <w:r>
        <w:rPr>
          <w:lang/>
        </w:rPr>
        <w:t>24</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_Toc25202 </w:instrText>
      </w:r>
      <w:r>
        <w:rPr>
          <w:rFonts w:ascii="黑体"/>
        </w:rPr>
        <w:fldChar w:fldCharType="separate"/>
      </w:r>
      <w:r>
        <w:rPr>
          <w:rFonts w:hint="eastAsia"/>
        </w:rPr>
        <w:t>格式Ⅳ</w:t>
      </w:r>
      <w:r>
        <w:t>-</w:t>
      </w:r>
      <w:r>
        <w:rPr>
          <w:rFonts w:hint="eastAsia"/>
        </w:rPr>
        <w:t>8</w:t>
      </w:r>
      <w:r>
        <w:t>-1</w:t>
      </w:r>
      <w:r>
        <w:rPr>
          <w:rFonts w:hint="eastAsia"/>
        </w:rPr>
        <w:t>．资格声明格式</w:t>
      </w:r>
      <w:r>
        <w:tab/>
      </w:r>
      <w:r>
        <w:fldChar w:fldCharType="begin"/>
      </w:r>
      <w:r>
        <w:instrText xml:space="preserve"> PAGEREF _Toc25202 \h </w:instrText>
      </w:r>
      <w:r>
        <w:fldChar w:fldCharType="separate"/>
      </w:r>
      <w:r>
        <w:rPr>
          <w:lang/>
        </w:rPr>
        <w:t>25</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_Toc10166 </w:instrText>
      </w:r>
      <w:r>
        <w:rPr>
          <w:rFonts w:ascii="黑体"/>
        </w:rPr>
        <w:fldChar w:fldCharType="separate"/>
      </w:r>
      <w:r>
        <w:rPr>
          <w:rFonts w:hint="eastAsia"/>
        </w:rPr>
        <w:t>格式Ⅳ</w:t>
      </w:r>
      <w:r>
        <w:t>-</w:t>
      </w:r>
      <w:r>
        <w:rPr>
          <w:rFonts w:hint="eastAsia"/>
        </w:rPr>
        <w:t>8</w:t>
      </w:r>
      <w:r>
        <w:t>-</w:t>
      </w:r>
      <w:r>
        <w:rPr>
          <w:rFonts w:hint="eastAsia"/>
        </w:rPr>
        <w:t>2．法律纠纷情况</w:t>
      </w:r>
      <w:r>
        <w:tab/>
      </w:r>
      <w:r>
        <w:fldChar w:fldCharType="begin"/>
      </w:r>
      <w:r>
        <w:instrText xml:space="preserve"> PAGEREF _Toc10166 \h </w:instrText>
      </w:r>
      <w:r>
        <w:fldChar w:fldCharType="separate"/>
      </w:r>
      <w:r>
        <w:rPr>
          <w:lang/>
        </w:rPr>
        <w:t>26</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_Toc17847 </w:instrText>
      </w:r>
      <w:r>
        <w:rPr>
          <w:rFonts w:ascii="黑体"/>
        </w:rPr>
        <w:fldChar w:fldCharType="separate"/>
      </w:r>
      <w:r>
        <w:rPr>
          <w:rFonts w:hint="eastAsia"/>
        </w:rPr>
        <w:t>格式Ⅳ</w:t>
      </w:r>
      <w:r>
        <w:t>-</w:t>
      </w:r>
      <w:r>
        <w:rPr>
          <w:rFonts w:hint="eastAsia"/>
        </w:rPr>
        <w:t>8</w:t>
      </w:r>
      <w:r>
        <w:t>-</w:t>
      </w:r>
      <w:r>
        <w:rPr>
          <w:rFonts w:hint="eastAsia"/>
        </w:rPr>
        <w:t>3．机密信息接受承诺函</w:t>
      </w:r>
      <w:r>
        <w:tab/>
      </w:r>
      <w:r>
        <w:fldChar w:fldCharType="begin"/>
      </w:r>
      <w:r>
        <w:instrText xml:space="preserve"> PAGEREF _Toc17847 \h </w:instrText>
      </w:r>
      <w:r>
        <w:fldChar w:fldCharType="separate"/>
      </w:r>
      <w:r>
        <w:rPr>
          <w:lang/>
        </w:rPr>
        <w:t>27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_Toc8381 </w:instrText>
      </w:r>
      <w:r>
        <w:rPr>
          <w:rFonts w:ascii="黑体"/>
        </w:rPr>
        <w:fldChar w:fldCharType="separate"/>
      </w:r>
      <w:r>
        <w:rPr>
          <w:rFonts w:hint="eastAsia"/>
        </w:rPr>
        <w:t>第五章</w:t>
      </w:r>
      <w:r>
        <w:t xml:space="preserve">  </w:t>
      </w:r>
      <w:r>
        <w:rPr>
          <w:rFonts w:hint="eastAsia"/>
        </w:rPr>
        <w:t>合同专用条款</w:t>
      </w:r>
      <w:r>
        <w:tab/>
      </w:r>
      <w:r>
        <w:fldChar w:fldCharType="begin"/>
      </w:r>
      <w:r>
        <w:instrText xml:space="preserve"> PAGEREF _Toc8381 \h </w:instrText>
      </w:r>
      <w:r>
        <w:fldChar w:fldCharType="separate"/>
      </w:r>
      <w:r>
        <w:rPr>
          <w:lang/>
        </w:rPr>
        <w:t>29</w:t>
      </w:r>
      <w:r>
        <w:fldChar w:fldCharType="end"/>
      </w:r>
      <w:r>
        <w:rPr>
          <w:rFonts w:ascii="黑体"/>
        </w:rPr>
        <w:fldChar w:fldCharType="end"/>
      </w:r>
    </w:p>
    <w:p>
      <w:pPr>
        <w:pStyle w:val="38"/>
        <w:tabs>
          <w:tab w:val="right" w:leader="dot" w:pos="8959"/>
          <w:tab w:val="clear" w:pos="8949"/>
        </w:tabs>
      </w:pPr>
      <w:r>
        <w:rPr>
          <w:rFonts w:ascii="黑体"/>
        </w:rPr>
        <w:fldChar w:fldCharType="begin"/>
      </w:r>
      <w:r>
        <w:rPr>
          <w:rFonts w:ascii="黑体"/>
        </w:rPr>
        <w:instrText xml:space="preserve"> HYPERLINK \l _Toc13629 </w:instrText>
      </w:r>
      <w:r>
        <w:rPr>
          <w:rFonts w:ascii="黑体"/>
        </w:rPr>
        <w:fldChar w:fldCharType="separate"/>
      </w:r>
      <w:r>
        <w:rPr>
          <w:rFonts w:hint="eastAsia"/>
        </w:rPr>
        <w:t>格式Ⅴ</w:t>
      </w:r>
      <w:r>
        <w:t>-1</w:t>
      </w:r>
      <w:r>
        <w:rPr>
          <w:rFonts w:hint="eastAsia"/>
        </w:rPr>
        <w:t>．合同专用条款</w:t>
      </w:r>
      <w:r>
        <w:tab/>
      </w:r>
      <w:r>
        <w:fldChar w:fldCharType="begin"/>
      </w:r>
      <w:r>
        <w:instrText xml:space="preserve"> PAGEREF _Toc13629 \h </w:instrText>
      </w:r>
      <w:r>
        <w:fldChar w:fldCharType="separate"/>
      </w:r>
      <w:r>
        <w:rPr>
          <w:lang/>
        </w:rPr>
        <w:t>29</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_Toc30961 </w:instrText>
      </w:r>
      <w:r>
        <w:rPr>
          <w:rFonts w:ascii="黑体"/>
        </w:rPr>
        <w:fldChar w:fldCharType="separate"/>
      </w:r>
      <w:r>
        <w:rPr>
          <w:rFonts w:hint="eastAsia"/>
        </w:rPr>
        <w:t>第六章  产品需求一览表</w:t>
      </w:r>
      <w:r>
        <w:tab/>
      </w:r>
      <w:r>
        <w:fldChar w:fldCharType="begin"/>
      </w:r>
      <w:r>
        <w:instrText xml:space="preserve"> PAGEREF _Toc30961 \h </w:instrText>
      </w:r>
      <w:r>
        <w:fldChar w:fldCharType="separate"/>
      </w:r>
      <w:r>
        <w:rPr>
          <w:lang/>
        </w:rPr>
        <w:t>30</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_Toc5223 </w:instrText>
      </w:r>
      <w:r>
        <w:rPr>
          <w:rFonts w:ascii="黑体"/>
        </w:rPr>
        <w:fldChar w:fldCharType="separate"/>
      </w:r>
      <w:r>
        <w:rPr>
          <w:rFonts w:hint="eastAsia"/>
          <w:szCs w:val="24"/>
        </w:rPr>
        <w:t>附件</w:t>
      </w:r>
      <w:r>
        <w:rPr>
          <w:szCs w:val="24"/>
        </w:rPr>
        <w:t>1</w:t>
      </w:r>
      <w:r>
        <w:rPr>
          <w:rFonts w:hint="eastAsia"/>
          <w:szCs w:val="24"/>
        </w:rPr>
        <w:t>-1：评标方法及授标原则</w:t>
      </w:r>
      <w:r>
        <w:tab/>
      </w:r>
      <w:r>
        <w:fldChar w:fldCharType="begin"/>
      </w:r>
      <w:r>
        <w:instrText xml:space="preserve"> PAGEREF _Toc5223 \h </w:instrText>
      </w:r>
      <w:r>
        <w:fldChar w:fldCharType="separate"/>
      </w:r>
      <w:r>
        <w:rPr>
          <w:lang/>
        </w:rPr>
        <w:t>31</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_Toc4032 </w:instrText>
      </w:r>
      <w:r>
        <w:rPr>
          <w:rFonts w:ascii="黑体"/>
        </w:rPr>
        <w:fldChar w:fldCharType="separate"/>
      </w:r>
      <w:r>
        <w:rPr>
          <w:rFonts w:hint="eastAsia"/>
          <w:szCs w:val="24"/>
        </w:rPr>
        <w:t>附件1-2 商务关键条款</w:t>
      </w:r>
      <w:r>
        <w:tab/>
      </w:r>
      <w:r>
        <w:fldChar w:fldCharType="begin"/>
      </w:r>
      <w:r>
        <w:instrText xml:space="preserve"> PAGEREF _Toc4032 \h </w:instrText>
      </w:r>
      <w:r>
        <w:fldChar w:fldCharType="separate"/>
      </w:r>
      <w:r>
        <w:rPr>
          <w:lang/>
        </w:rPr>
        <w:t>34</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_Toc28723 </w:instrText>
      </w:r>
      <w:r>
        <w:rPr>
          <w:rFonts w:ascii="黑体"/>
        </w:rPr>
        <w:fldChar w:fldCharType="separate"/>
      </w:r>
      <w:r>
        <w:rPr>
          <w:rFonts w:hint="eastAsia"/>
          <w:szCs w:val="24"/>
        </w:rPr>
        <w:t>附件</w:t>
      </w:r>
      <w:r>
        <w:rPr>
          <w:szCs w:val="24"/>
        </w:rPr>
        <w:t>1-</w:t>
      </w:r>
      <w:r>
        <w:rPr>
          <w:rFonts w:hint="eastAsia"/>
          <w:szCs w:val="24"/>
        </w:rPr>
        <w:t>3：技术关键条款</w:t>
      </w:r>
      <w:r>
        <w:tab/>
      </w:r>
      <w:r>
        <w:fldChar w:fldCharType="begin"/>
      </w:r>
      <w:r>
        <w:instrText xml:space="preserve"> PAGEREF _Toc28723 \h </w:instrText>
      </w:r>
      <w:r>
        <w:fldChar w:fldCharType="separate"/>
      </w:r>
      <w:r>
        <w:rPr>
          <w:lang/>
        </w:rPr>
        <w:t>35</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_Toc25679 </w:instrText>
      </w:r>
      <w:r>
        <w:rPr>
          <w:rFonts w:ascii="黑体"/>
        </w:rPr>
        <w:fldChar w:fldCharType="separate"/>
      </w:r>
      <w:r>
        <w:rPr>
          <w:rFonts w:hint="eastAsia"/>
          <w:szCs w:val="24"/>
        </w:rPr>
        <w:t>附件</w:t>
      </w:r>
      <w:r>
        <w:rPr>
          <w:szCs w:val="24"/>
        </w:rPr>
        <w:t>1-</w:t>
      </w:r>
      <w:r>
        <w:rPr>
          <w:rFonts w:hint="eastAsia"/>
          <w:szCs w:val="24"/>
        </w:rPr>
        <w:t>4：其他条款</w:t>
      </w:r>
      <w:r>
        <w:tab/>
      </w:r>
      <w:r>
        <w:fldChar w:fldCharType="begin"/>
      </w:r>
      <w:r>
        <w:instrText xml:space="preserve"> PAGEREF _Toc25679 \h </w:instrText>
      </w:r>
      <w:r>
        <w:fldChar w:fldCharType="separate"/>
      </w:r>
      <w:r>
        <w:rPr>
          <w:lang/>
        </w:rPr>
        <w:t>35</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_Toc24782 </w:instrText>
      </w:r>
      <w:r>
        <w:rPr>
          <w:rFonts w:ascii="黑体"/>
        </w:rPr>
        <w:fldChar w:fldCharType="separate"/>
      </w:r>
      <w:r>
        <w:rPr>
          <w:rFonts w:hint="eastAsia" w:ascii="宋体" w:hAnsi="宋体" w:cs="宋体"/>
          <w:szCs w:val="28"/>
        </w:rPr>
        <w:t>附件1-5：2022年二级物资集中采购32大类电线（JC2022-WⅡ-32-03包）评分细则</w:t>
      </w:r>
      <w:r>
        <w:tab/>
      </w:r>
      <w:r>
        <w:fldChar w:fldCharType="begin"/>
      </w:r>
      <w:r>
        <w:instrText xml:space="preserve"> PAGEREF _Toc24782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_Toc21835 </w:instrText>
      </w:r>
      <w:r>
        <w:rPr>
          <w:rFonts w:ascii="黑体"/>
        </w:rPr>
        <w:fldChar w:fldCharType="separate"/>
      </w:r>
      <w:r>
        <w:rPr>
          <w:rFonts w:hint="eastAsia" w:ascii="宋体" w:hAnsi="宋体" w:cs="宋体"/>
          <w:szCs w:val="28"/>
        </w:rPr>
        <w:t>附件1：2022年二级物资集中采购32大类电线（JC2022-WⅡ-32-03包） 招标明细表</w:t>
      </w:r>
      <w:r>
        <w:tab/>
      </w:r>
      <w:r>
        <w:fldChar w:fldCharType="begin"/>
      </w:r>
      <w:r>
        <w:instrText xml:space="preserve"> PAGEREF _Toc21835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_Toc7320 </w:instrText>
      </w:r>
      <w:r>
        <w:rPr>
          <w:rFonts w:ascii="黑体"/>
        </w:rPr>
        <w:fldChar w:fldCharType="separate"/>
      </w:r>
      <w:r>
        <w:rPr>
          <w:rFonts w:hint="eastAsia" w:ascii="宋体" w:hAnsi="宋体" w:cs="宋体"/>
          <w:szCs w:val="28"/>
        </w:rPr>
        <w:t>附件</w:t>
      </w:r>
      <w:r>
        <w:rPr>
          <w:rFonts w:hint="eastAsia" w:ascii="宋体" w:cs="宋体"/>
          <w:szCs w:val="28"/>
        </w:rPr>
        <w:t>2</w:t>
      </w:r>
      <w:r>
        <w:rPr>
          <w:rFonts w:hint="eastAsia" w:ascii="宋体" w:hAnsi="宋体" w:cs="宋体"/>
          <w:szCs w:val="28"/>
        </w:rPr>
        <w:t>：2022年二级物资集中采购32大类电线（JC2022-WⅡ-32-03包）</w:t>
      </w:r>
      <w:r>
        <w:rPr>
          <w:rFonts w:hint="eastAsia" w:ascii="宋体" w:cs="宋体"/>
          <w:szCs w:val="28"/>
        </w:rPr>
        <w:t>最高投标限价</w:t>
      </w:r>
      <w:r>
        <w:rPr>
          <w:rFonts w:hint="eastAsia" w:ascii="宋体" w:hAnsi="宋体" w:cs="宋体"/>
          <w:szCs w:val="28"/>
        </w:rPr>
        <w:t>表</w:t>
      </w:r>
      <w:r>
        <w:tab/>
      </w:r>
      <w:r>
        <w:fldChar w:fldCharType="begin"/>
      </w:r>
      <w:r>
        <w:instrText xml:space="preserve"> PAGEREF _Toc7320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_Toc28755 </w:instrText>
      </w:r>
      <w:r>
        <w:rPr>
          <w:rFonts w:ascii="黑体"/>
        </w:rPr>
        <w:fldChar w:fldCharType="separate"/>
      </w:r>
      <w:r>
        <w:rPr>
          <w:rFonts w:hint="eastAsia" w:ascii="宋体" w:hAnsi="宋体" w:cs="宋体"/>
          <w:szCs w:val="28"/>
        </w:rPr>
        <w:t>附件</w:t>
      </w:r>
      <w:r>
        <w:rPr>
          <w:rFonts w:hint="eastAsia" w:ascii="宋体" w:cs="宋体"/>
          <w:szCs w:val="28"/>
        </w:rPr>
        <w:t>3</w:t>
      </w:r>
      <w:r>
        <w:rPr>
          <w:rFonts w:hint="eastAsia" w:ascii="宋体" w:hAnsi="宋体" w:cs="宋体"/>
          <w:szCs w:val="28"/>
        </w:rPr>
        <w:t>：2022年二级物资集中采购32大类电线（JC2022-WⅡ-32-03包） 投标报价表</w:t>
      </w:r>
      <w:r>
        <w:tab/>
      </w:r>
      <w:r>
        <w:fldChar w:fldCharType="begin"/>
      </w:r>
      <w:r>
        <w:instrText xml:space="preserve"> PAGEREF _Toc28755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_Toc28785 </w:instrText>
      </w:r>
      <w:r>
        <w:rPr>
          <w:rFonts w:ascii="黑体"/>
        </w:rPr>
        <w:fldChar w:fldCharType="separate"/>
      </w:r>
      <w:r>
        <w:rPr>
          <w:rFonts w:hint="eastAsia" w:ascii="宋体" w:hAnsi="宋体" w:cs="宋体"/>
          <w:szCs w:val="28"/>
        </w:rPr>
        <w:t>附件</w:t>
      </w:r>
      <w:r>
        <w:rPr>
          <w:rFonts w:hint="eastAsia" w:ascii="宋体" w:cs="宋体"/>
          <w:szCs w:val="28"/>
        </w:rPr>
        <w:t>4</w:t>
      </w:r>
      <w:r>
        <w:rPr>
          <w:rFonts w:hint="eastAsia" w:ascii="宋体" w:hAnsi="宋体" w:cs="宋体"/>
          <w:szCs w:val="28"/>
        </w:rPr>
        <w:t>：合规承诺书</w:t>
      </w:r>
      <w:r>
        <w:tab/>
      </w:r>
      <w:r>
        <w:fldChar w:fldCharType="begin"/>
      </w:r>
      <w:r>
        <w:instrText xml:space="preserve"> PAGEREF _Toc28785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_Toc21913 </w:instrText>
      </w:r>
      <w:r>
        <w:rPr>
          <w:rFonts w:ascii="黑体"/>
        </w:rPr>
        <w:fldChar w:fldCharType="separate"/>
      </w:r>
      <w:r>
        <w:rPr>
          <w:rFonts w:hint="eastAsia" w:ascii="宋体" w:hAnsi="宋体" w:cs="宋体"/>
          <w:szCs w:val="28"/>
        </w:rPr>
        <w:t>附件</w:t>
      </w:r>
      <w:r>
        <w:rPr>
          <w:rFonts w:hint="eastAsia" w:ascii="宋体" w:cs="宋体"/>
          <w:szCs w:val="28"/>
        </w:rPr>
        <w:t>5</w:t>
      </w:r>
      <w:r>
        <w:rPr>
          <w:rFonts w:hint="eastAsia" w:ascii="宋体" w:hAnsi="宋体" w:cs="宋体"/>
          <w:szCs w:val="28"/>
        </w:rPr>
        <w:t>：投标人自律守则</w:t>
      </w:r>
      <w:r>
        <w:tab/>
      </w:r>
      <w:r>
        <w:fldChar w:fldCharType="begin"/>
      </w:r>
      <w:r>
        <w:instrText xml:space="preserve"> PAGEREF _Toc21913 \h </w:instrText>
      </w:r>
      <w:r>
        <w:fldChar w:fldCharType="separate"/>
      </w:r>
      <w:r>
        <w:rPr>
          <w:lang/>
        </w:rPr>
        <w:t>37</w:t>
      </w:r>
      <w:r>
        <w:fldChar w:fldCharType="end"/>
      </w:r>
      <w:r>
        <w:rPr>
          <w:rFonts w:ascii="黑体"/>
        </w:rPr>
        <w:fldChar w:fldCharType="end"/>
      </w:r>
    </w:p>
    <w:p>
      <w:pPr>
        <w:pStyle w:val="31"/>
        <w:tabs>
          <w:tab w:val="right" w:leader="dot" w:pos="8959"/>
        </w:tabs>
      </w:pPr>
      <w:r>
        <w:rPr>
          <w:rFonts w:ascii="黑体"/>
        </w:rPr>
        <w:fldChar w:fldCharType="begin"/>
      </w:r>
      <w:r>
        <w:rPr>
          <w:rFonts w:ascii="黑体"/>
        </w:rPr>
        <w:instrText xml:space="preserve"> HYPERLINK \l _Toc12105 </w:instrText>
      </w:r>
      <w:r>
        <w:rPr>
          <w:rFonts w:ascii="黑体"/>
        </w:rPr>
        <w:fldChar w:fldCharType="separate"/>
      </w:r>
      <w:r>
        <w:rPr>
          <w:rFonts w:hint="eastAsia" w:ascii="宋体" w:hAnsi="宋体" w:cs="宋体"/>
          <w:szCs w:val="28"/>
        </w:rPr>
        <w:t>附件</w:t>
      </w:r>
      <w:r>
        <w:rPr>
          <w:rFonts w:hint="eastAsia" w:ascii="宋体" w:cs="宋体"/>
          <w:szCs w:val="28"/>
        </w:rPr>
        <w:t>6</w:t>
      </w:r>
      <w:r>
        <w:rPr>
          <w:rFonts w:hint="eastAsia" w:ascii="宋体" w:hAnsi="宋体" w:cs="宋体"/>
          <w:szCs w:val="28"/>
        </w:rPr>
        <w:t>：销售业绩统计表</w:t>
      </w:r>
      <w:r>
        <w:tab/>
      </w:r>
      <w:r>
        <w:fldChar w:fldCharType="begin"/>
      </w:r>
      <w:r>
        <w:instrText xml:space="preserve"> PAGEREF _Toc12105 \h </w:instrText>
      </w:r>
      <w:r>
        <w:fldChar w:fldCharType="separate"/>
      </w:r>
      <w:r>
        <w:rPr>
          <w:lang/>
        </w:rPr>
        <w:t>37</w:t>
      </w:r>
      <w:r>
        <w:fldChar w:fldCharType="end"/>
      </w:r>
      <w:r>
        <w:rPr>
          <w:rFonts w:ascii="黑体"/>
        </w:rPr>
        <w:fldChar w:fldCharType="end"/>
      </w:r>
    </w:p>
    <w:p>
      <w:pPr>
        <w:pStyle w:val="31"/>
        <w:tabs>
          <w:tab w:val="right" w:leader="middleDot" w:pos="8949"/>
        </w:tabs>
        <w:rPr>
          <w:rFonts w:ascii="Calibri" w:hAnsi="Calibri"/>
          <w:b w:val="0"/>
          <w:bCs w:val="0"/>
          <w:caps w:val="0"/>
          <w:kern w:val="2"/>
          <w:sz w:val="21"/>
          <w:szCs w:val="22"/>
          <w:lang/>
        </w:rPr>
      </w:pPr>
      <w:r>
        <w:rPr>
          <w:rFonts w:ascii="黑体"/>
        </w:rPr>
        <w:fldChar w:fldCharType="end"/>
      </w:r>
      <w:r>
        <w:rPr>
          <w:rFonts w:ascii="Calibri" w:hAnsi="Calibri"/>
          <w:b w:val="0"/>
          <w:bCs w:val="0"/>
          <w:caps w:val="0"/>
          <w:kern w:val="2"/>
          <w:sz w:val="21"/>
          <w:szCs w:val="22"/>
          <w:lang/>
        </w:rPr>
        <w:t xml:space="preserve"> </w:t>
      </w:r>
    </w:p>
    <w:p>
      <w:pPr>
        <w:pStyle w:val="61"/>
        <w:spacing w:before="120" w:after="120" w:line="260" w:lineRule="exact"/>
        <w:ind w:firstLine="0" w:firstLineChars="0"/>
        <w:rPr>
          <w:kern w:val="2"/>
          <w:lang/>
        </w:rPr>
        <w:sectPr>
          <w:footerReference r:id="rId8" w:type="first"/>
          <w:headerReference r:id="rId5" w:type="default"/>
          <w:footerReference r:id="rId6" w:type="default"/>
          <w:footerReference r:id="rId7" w:type="even"/>
          <w:pgSz w:w="11907" w:h="16840"/>
          <w:pgMar w:top="1418" w:right="1474" w:bottom="1418" w:left="1474" w:header="851" w:footer="992" w:gutter="0"/>
          <w:pgNumType w:fmt="numberInDash" w:start="0"/>
          <w:cols w:space="720" w:num="1"/>
          <w:titlePg/>
          <w:docGrid w:type="lines" w:linePitch="0" w:charSpace="0"/>
        </w:sectPr>
      </w:pPr>
    </w:p>
    <w:p>
      <w:pPr>
        <w:pStyle w:val="68"/>
        <w:numPr>
          <w:ilvl w:val="0"/>
          <w:numId w:val="2"/>
        </w:numPr>
        <w:spacing w:before="318" w:after="318"/>
        <w:rPr>
          <w:rFonts w:hint="eastAsia"/>
        </w:rPr>
      </w:pPr>
      <w:bookmarkStart w:id="3" w:name="_Toc456080770"/>
      <w:bookmarkStart w:id="4" w:name="_Toc9600712"/>
      <w:bookmarkStart w:id="5" w:name="_Toc23510152"/>
      <w:bookmarkStart w:id="6" w:name="_Toc204592924"/>
      <w:bookmarkStart w:id="7" w:name="_Toc244261269"/>
      <w:bookmarkStart w:id="8" w:name="_Toc363125332"/>
      <w:bookmarkStart w:id="9" w:name="_Toc363454525"/>
      <w:bookmarkStart w:id="10" w:name="_Toc363134224"/>
      <w:bookmarkStart w:id="11" w:name="_Toc363059636"/>
      <w:bookmarkStart w:id="12" w:name="_Toc363128926"/>
      <w:bookmarkStart w:id="13" w:name="_Toc363127786"/>
      <w:bookmarkStart w:id="14" w:name="_Toc307924148"/>
      <w:r>
        <w:rPr>
          <w:rFonts w:hint="eastAsia"/>
        </w:rPr>
        <w:t xml:space="preserve"> </w:t>
      </w:r>
      <w:bookmarkEnd w:id="3"/>
      <w:bookmarkStart w:id="15" w:name="_Toc12351"/>
      <w:r>
        <w:rPr>
          <w:rFonts w:hint="eastAsia"/>
        </w:rPr>
        <w:t>招标公告</w:t>
      </w:r>
      <w:bookmarkEnd w:id="4"/>
      <w:bookmarkEnd w:id="5"/>
      <w:bookmarkEnd w:id="15"/>
    </w:p>
    <w:p>
      <w:pPr>
        <w:spacing w:line="360" w:lineRule="auto"/>
        <w:jc w:val="center"/>
        <w:rPr>
          <w:rFonts w:hint="eastAsia" w:hAnsi="宋体" w:cs="宋体"/>
          <w:b/>
          <w:sz w:val="36"/>
          <w:szCs w:val="36"/>
          <w:lang w:val="zh-CN"/>
        </w:rPr>
      </w:pPr>
      <w:r>
        <w:rPr>
          <w:rFonts w:hint="eastAsia" w:hAnsi="宋体"/>
          <w:b/>
          <w:sz w:val="28"/>
          <w:szCs w:val="24"/>
        </w:rPr>
        <w:t>2022年二级物资集中采购32大类电线（JC2022-WⅡ-32-03包）招标公告</w:t>
      </w:r>
    </w:p>
    <w:p>
      <w:pPr>
        <w:spacing w:line="360" w:lineRule="auto"/>
        <w:jc w:val="right"/>
        <w:rPr>
          <w:rFonts w:hint="eastAsia" w:hAnsi="宋体" w:cs="宋体"/>
          <w:b/>
          <w:sz w:val="24"/>
          <w:szCs w:val="24"/>
          <w:u w:val="single"/>
          <w:lang w:val="zh-CN"/>
        </w:rPr>
      </w:pPr>
      <w:r>
        <w:rPr>
          <w:rFonts w:hint="eastAsia" w:hAnsi="宋体" w:cs="宋体"/>
          <w:b/>
          <w:sz w:val="24"/>
          <w:szCs w:val="24"/>
          <w:lang w:val="zh-CN"/>
        </w:rPr>
        <w:t>招标编号：LHZB2-2022-W011</w:t>
      </w:r>
    </w:p>
    <w:p>
      <w:pPr>
        <w:pStyle w:val="4"/>
        <w:ind w:firstLine="413" w:firstLineChars="196"/>
        <w:jc w:val="both"/>
        <w:rPr>
          <w:rFonts w:hint="eastAsia" w:ascii="宋体" w:hAnsi="宋体"/>
          <w:kern w:val="2"/>
          <w:sz w:val="21"/>
          <w:szCs w:val="21"/>
        </w:rPr>
      </w:pPr>
      <w:bookmarkStart w:id="16" w:name="_Toc6005"/>
      <w:bookmarkStart w:id="17" w:name="_Toc309227643"/>
      <w:bookmarkStart w:id="18" w:name="_Toc16231"/>
      <w:bookmarkStart w:id="19" w:name="_Toc282843630"/>
      <w:bookmarkStart w:id="20" w:name="_Toc304558322"/>
      <w:bookmarkStart w:id="21" w:name="_Toc304557789"/>
      <w:bookmarkStart w:id="22" w:name="_Toc282823804"/>
      <w:bookmarkStart w:id="23" w:name="_Toc492458560"/>
      <w:bookmarkStart w:id="24" w:name="_Toc309377662"/>
      <w:r>
        <w:rPr>
          <w:rFonts w:ascii="宋体" w:hAnsi="宋体"/>
          <w:kern w:val="2"/>
          <w:sz w:val="21"/>
          <w:szCs w:val="21"/>
        </w:rPr>
        <w:t>一、招标条件</w:t>
      </w:r>
      <w:bookmarkEnd w:id="16"/>
      <w:bookmarkEnd w:id="17"/>
      <w:bookmarkEnd w:id="18"/>
      <w:bookmarkEnd w:id="19"/>
      <w:bookmarkEnd w:id="20"/>
      <w:bookmarkEnd w:id="21"/>
      <w:bookmarkEnd w:id="22"/>
      <w:bookmarkEnd w:id="23"/>
    </w:p>
    <w:p>
      <w:pPr>
        <w:pStyle w:val="61"/>
        <w:rPr>
          <w:rFonts w:hint="eastAsia" w:ascii="宋体" w:hAnsi="宋体"/>
        </w:rPr>
      </w:pPr>
      <w:r>
        <w:rPr>
          <w:rFonts w:hint="eastAsia" w:ascii="宋体" w:hAnsi="宋体"/>
        </w:rPr>
        <w:t>本项目已按要求履行了相关报批及备案等手续，资金已落实，具备招标条件，现对其进行公开招标</w:t>
      </w:r>
      <w:r>
        <w:rPr>
          <w:rFonts w:ascii="宋体" w:hAnsi="宋体"/>
        </w:rPr>
        <w:t>。</w:t>
      </w:r>
    </w:p>
    <w:p>
      <w:pPr>
        <w:pStyle w:val="4"/>
        <w:ind w:firstLine="413" w:firstLineChars="196"/>
        <w:jc w:val="both"/>
        <w:rPr>
          <w:rFonts w:hint="eastAsia" w:ascii="宋体" w:hAnsi="宋体"/>
          <w:kern w:val="2"/>
          <w:sz w:val="21"/>
          <w:szCs w:val="21"/>
        </w:rPr>
      </w:pPr>
      <w:bookmarkStart w:id="25" w:name="_Toc309652499"/>
      <w:bookmarkStart w:id="26" w:name="_Toc1472"/>
      <w:r>
        <w:rPr>
          <w:rFonts w:hint="eastAsia" w:ascii="宋体" w:hAnsi="宋体"/>
          <w:kern w:val="2"/>
          <w:sz w:val="21"/>
          <w:szCs w:val="21"/>
        </w:rPr>
        <w:t>二、项目概况与招标范围</w:t>
      </w:r>
      <w:bookmarkEnd w:id="25"/>
      <w:bookmarkEnd w:id="26"/>
    </w:p>
    <w:p>
      <w:pPr>
        <w:pStyle w:val="61"/>
        <w:adjustRightInd w:val="0"/>
        <w:spacing w:line="440" w:lineRule="exact"/>
        <w:rPr>
          <w:rFonts w:hint="eastAsia" w:ascii="宋体" w:hAnsi="宋体"/>
          <w:color w:val="FF0000"/>
        </w:rPr>
      </w:pPr>
      <w:r>
        <w:rPr>
          <w:rFonts w:hint="eastAsia" w:ascii="宋体" w:hAnsi="宋体"/>
          <w:color w:val="FF0000"/>
        </w:rPr>
        <w:t>2.1招标项目名称：2022年二级物资集中采购32大类电线（JC2022-WⅡ-32-03包）。</w:t>
      </w:r>
    </w:p>
    <w:p>
      <w:pPr>
        <w:pStyle w:val="61"/>
        <w:adjustRightInd w:val="0"/>
        <w:spacing w:line="440" w:lineRule="exact"/>
        <w:rPr>
          <w:rFonts w:hint="eastAsia" w:ascii="宋体" w:hAnsi="宋体"/>
          <w:color w:val="FF0000"/>
        </w:rPr>
      </w:pPr>
      <w:r>
        <w:rPr>
          <w:rFonts w:hint="eastAsia" w:ascii="宋体" w:hAnsi="宋体"/>
          <w:color w:val="FF0000"/>
        </w:rPr>
        <w:t>2.2招标范围: 2022年二级物资集中采购32大类电线（JC2022-WⅡ-32-03包），详见附件1。</w:t>
      </w:r>
    </w:p>
    <w:p>
      <w:pPr>
        <w:pStyle w:val="61"/>
        <w:adjustRightInd w:val="0"/>
        <w:spacing w:line="440" w:lineRule="exact"/>
        <w:rPr>
          <w:rFonts w:hint="eastAsia" w:ascii="宋体" w:hAnsi="宋体"/>
          <w:color w:val="FF0000"/>
        </w:rPr>
      </w:pPr>
      <w:r>
        <w:rPr>
          <w:rFonts w:hint="eastAsia" w:ascii="宋体" w:hAnsi="宋体"/>
          <w:color w:val="FF0000"/>
        </w:rPr>
        <w:t>2.3技术标准：详见附件1。</w:t>
      </w:r>
    </w:p>
    <w:p>
      <w:pPr>
        <w:pStyle w:val="61"/>
        <w:spacing w:line="440" w:lineRule="exact"/>
        <w:rPr>
          <w:rFonts w:hint="eastAsia" w:ascii="宋体" w:hAnsi="宋体"/>
          <w:color w:val="FF0000"/>
        </w:rPr>
      </w:pPr>
      <w:r>
        <w:rPr>
          <w:rFonts w:hint="eastAsia" w:ascii="宋体" w:hAnsi="宋体"/>
          <w:color w:val="FF0000"/>
        </w:rPr>
        <w:t>2.4质量要求：招标人要求符合产品的技术标准，详见附件1。</w:t>
      </w:r>
    </w:p>
    <w:p>
      <w:pPr>
        <w:pStyle w:val="61"/>
        <w:adjustRightInd w:val="0"/>
        <w:spacing w:line="440" w:lineRule="exact"/>
        <w:rPr>
          <w:rFonts w:hint="eastAsia" w:ascii="宋体" w:hAnsi="宋体"/>
          <w:color w:val="FF0000"/>
        </w:rPr>
      </w:pPr>
      <w:r>
        <w:rPr>
          <w:rFonts w:hint="eastAsia" w:ascii="宋体" w:hAnsi="宋体"/>
          <w:color w:val="FF0000"/>
        </w:rPr>
        <w:t>2.5交货地点：物资公司各储运公司、区域物资供应中心（合同中约定的其他地点，其范围不超出辽河油田区域）</w:t>
      </w:r>
      <w:r>
        <w:rPr>
          <w:rFonts w:hint="eastAsia" w:ascii="宋体" w:hAnsi="宋体"/>
          <w:color w:val="FF0000"/>
          <w:szCs w:val="20"/>
        </w:rPr>
        <w:t>。</w:t>
      </w:r>
    </w:p>
    <w:p>
      <w:pPr>
        <w:pStyle w:val="61"/>
        <w:adjustRightInd w:val="0"/>
        <w:spacing w:line="440" w:lineRule="exact"/>
        <w:rPr>
          <w:rFonts w:hint="eastAsia" w:ascii="宋体" w:hAnsi="宋体"/>
          <w:color w:val="FF0000"/>
          <w:szCs w:val="20"/>
        </w:rPr>
      </w:pPr>
      <w:r>
        <w:rPr>
          <w:rFonts w:hint="eastAsia" w:ascii="宋体" w:hAnsi="宋体"/>
          <w:color w:val="FF0000"/>
        </w:rPr>
        <w:t>2.6交货时间：按指定时间(分批)送达</w:t>
      </w:r>
      <w:r>
        <w:rPr>
          <w:rFonts w:hint="eastAsia" w:ascii="宋体" w:hAnsi="宋体"/>
          <w:color w:val="FF0000"/>
          <w:szCs w:val="20"/>
        </w:rPr>
        <w:t>。</w:t>
      </w:r>
    </w:p>
    <w:p>
      <w:pPr>
        <w:pStyle w:val="61"/>
        <w:adjustRightInd w:val="0"/>
        <w:spacing w:line="440" w:lineRule="exact"/>
        <w:rPr>
          <w:rFonts w:hint="eastAsia" w:ascii="宋体" w:hAnsi="宋体"/>
          <w:color w:val="FF0000"/>
        </w:rPr>
      </w:pPr>
      <w:r>
        <w:rPr>
          <w:rFonts w:hint="eastAsia" w:hAnsi="宋体"/>
          <w:color w:val="FF0000"/>
        </w:rPr>
        <w:t>2.7服务要</w:t>
      </w:r>
      <w:r>
        <w:rPr>
          <w:rFonts w:hint="eastAsia" w:ascii="宋体" w:hAnsi="宋体"/>
          <w:color w:val="FF0000"/>
        </w:rPr>
        <w:t>求：中标人按合同要求送货后，应提供相应的技术服务，包括产品的正确使用、现场施工指导、废弃物处理方法及现场提出的相关服务等内容。</w:t>
      </w:r>
    </w:p>
    <w:p>
      <w:pPr>
        <w:spacing w:line="360" w:lineRule="auto"/>
        <w:ind w:left="428" w:leftChars="200" w:hanging="8" w:hangingChars="4"/>
        <w:jc w:val="both"/>
        <w:rPr>
          <w:rFonts w:hint="eastAsia" w:ascii="Times New Roman" w:hAnsi="宋体"/>
          <w:color w:val="FF0000"/>
          <w:szCs w:val="21"/>
        </w:rPr>
      </w:pPr>
      <w:r>
        <w:rPr>
          <w:rFonts w:hint="eastAsia" w:ascii="Times New Roman" w:hAnsi="宋体"/>
          <w:color w:val="FF0000"/>
          <w:szCs w:val="21"/>
        </w:rPr>
        <w:t>2.8计价方式：</w:t>
      </w:r>
      <w:bookmarkStart w:id="27" w:name="_Toc309652500"/>
      <w:r>
        <w:rPr>
          <w:rFonts w:hint="eastAsia" w:ascii="Times New Roman" w:hAnsi="宋体"/>
          <w:color w:val="FF0000"/>
          <w:szCs w:val="21"/>
        </w:rPr>
        <w:t>综合到货含税价（含货款、13%增值税、运费、装卸车费、包装费及其他杂费）</w:t>
      </w:r>
    </w:p>
    <w:p>
      <w:pPr>
        <w:pStyle w:val="4"/>
        <w:spacing w:line="360" w:lineRule="auto"/>
        <w:ind w:left="428" w:leftChars="200" w:hanging="8" w:hangingChars="4"/>
        <w:jc w:val="both"/>
        <w:rPr>
          <w:rFonts w:ascii="宋体" w:hAnsi="宋体"/>
          <w:kern w:val="2"/>
          <w:sz w:val="21"/>
          <w:szCs w:val="21"/>
        </w:rPr>
      </w:pPr>
      <w:bookmarkStart w:id="28" w:name="_Toc25222"/>
      <w:r>
        <w:rPr>
          <w:rFonts w:hint="eastAsia" w:ascii="宋体" w:hAnsi="宋体"/>
          <w:kern w:val="2"/>
          <w:sz w:val="21"/>
          <w:szCs w:val="21"/>
        </w:rPr>
        <w:t>三、投标人资格要求</w:t>
      </w:r>
      <w:bookmarkEnd w:id="28"/>
    </w:p>
    <w:p>
      <w:pPr>
        <w:spacing w:line="360" w:lineRule="auto"/>
        <w:ind w:firstLine="420" w:firstLineChars="200"/>
        <w:rPr>
          <w:rFonts w:hint="eastAsia" w:hAnsi="宋体"/>
          <w:color w:val="FF0000"/>
        </w:rPr>
      </w:pPr>
      <w:r>
        <w:rPr>
          <w:rFonts w:hint="eastAsia" w:hAnsi="宋体"/>
          <w:color w:val="FF0000"/>
        </w:rPr>
        <w:t>3.1投标人必须在中华人民共和国境内合法注册，具有独立法人资格或其它组织；</w:t>
      </w:r>
    </w:p>
    <w:p>
      <w:pPr>
        <w:spacing w:line="360" w:lineRule="auto"/>
        <w:ind w:firstLine="420" w:firstLineChars="200"/>
        <w:rPr>
          <w:rFonts w:hint="eastAsia" w:hAnsi="宋体"/>
          <w:color w:val="FF0000"/>
        </w:rPr>
      </w:pPr>
      <w:r>
        <w:rPr>
          <w:rFonts w:hint="eastAsia" w:hAnsi="宋体"/>
          <w:color w:val="FF0000"/>
        </w:rPr>
        <w:t>3.2投标人须为具备本包产品生产能力的生产制造商；</w:t>
      </w:r>
    </w:p>
    <w:p>
      <w:pPr>
        <w:spacing w:line="360" w:lineRule="auto"/>
        <w:ind w:firstLine="420" w:firstLineChars="200"/>
        <w:rPr>
          <w:rFonts w:hint="eastAsia" w:hAnsi="宋体"/>
          <w:color w:val="FF0000"/>
        </w:rPr>
      </w:pPr>
      <w:r>
        <w:rPr>
          <w:rFonts w:hint="eastAsia" w:hAnsi="宋体"/>
          <w:color w:val="FF0000"/>
        </w:rPr>
        <w:t>3.3投标人具有良好的企业信誉，资产负债率不大于100%且没有处于被责令停业、财产被接管、冻结、破产或其他关、停、并、转状态；在最近三年没有与骗取合同有关以及其他经济方面的违法行为；</w:t>
      </w:r>
    </w:p>
    <w:p>
      <w:pPr>
        <w:spacing w:line="360" w:lineRule="auto"/>
        <w:ind w:firstLine="420" w:firstLineChars="200"/>
        <w:rPr>
          <w:rFonts w:hint="eastAsia" w:hAnsi="宋体"/>
          <w:color w:val="FF0000"/>
        </w:rPr>
      </w:pPr>
      <w:r>
        <w:rPr>
          <w:rFonts w:hint="eastAsia" w:hAnsi="宋体"/>
          <w:color w:val="FF0000"/>
        </w:rPr>
        <w:t>3.4投标人未被“国家企业信用信息公示系统”网站（www.gsxt.gov.cn）列入严重违法失信企业名单。投标人、法定代表人或者负责人未被人民法院在“信用中国”网站（www.creditchina.gov.cn）列入失信被执行人。2021年1月1日至投标截止时间投标人法定代表人或者负责人无行贿犯罪。（以判决生效日为准，查询结果以“中国裁判文书网”网站为准（wenshu.court.gov.cn））；</w:t>
      </w:r>
    </w:p>
    <w:p>
      <w:pPr>
        <w:spacing w:line="360" w:lineRule="auto"/>
        <w:ind w:firstLine="420" w:firstLineChars="200"/>
        <w:rPr>
          <w:rFonts w:hint="eastAsia" w:hAnsi="宋体"/>
          <w:color w:val="FF0000"/>
        </w:rPr>
      </w:pPr>
      <w:r>
        <w:rPr>
          <w:rFonts w:hint="eastAsia" w:hAnsi="宋体"/>
          <w:color w:val="FF0000"/>
        </w:rPr>
        <w:t>3.5未被中国石油招标投标网(www.cnpcbidding.com)暂停或取消投标资格的。（根据《中国石油天然气集团有限公司投标人失信行为管理办法》的规定，失信分达到8分时，暂停投标人的投标资格半年；失信分达到9分时，暂停投标人的投标资格一年；失信分达到10分暂停投标人的投标资格两年。失信分10.5分及以上，或在暂停期间再次发生失信行为的，取消集团公司范围内的投标资格三年。期满重新获得投标人资格的，失信分不清零，有效期顺延三年。）；</w:t>
      </w:r>
    </w:p>
    <w:p>
      <w:pPr>
        <w:spacing w:line="360" w:lineRule="auto"/>
        <w:ind w:firstLine="420" w:firstLineChars="200"/>
        <w:rPr>
          <w:rFonts w:hint="eastAsia" w:hAnsi="宋体"/>
          <w:color w:val="FF0000"/>
        </w:rPr>
      </w:pPr>
      <w:r>
        <w:rPr>
          <w:rFonts w:hint="eastAsia" w:hAnsi="宋体"/>
          <w:color w:val="FF0000"/>
        </w:rPr>
        <w:t>3.6投标人必须提供本企业有效的质量管理体系认证证书，认证的项目应涵盖本包别的产品或产品类别，并附清晰的扫描件及查询网站（</w:t>
      </w:r>
      <w:r>
        <w:rPr>
          <w:rFonts w:hint="eastAsia" w:hAnsi="宋体"/>
          <w:color w:val="FF0000"/>
        </w:rPr>
        <w:fldChar w:fldCharType="begin"/>
      </w:r>
      <w:r>
        <w:rPr>
          <w:rFonts w:hint="eastAsia" w:hAnsi="宋体"/>
          <w:color w:val="FF0000"/>
        </w:rPr>
        <w:instrText xml:space="preserve"> HYPERLINK "http://cx.cnca.cn" </w:instrText>
      </w:r>
      <w:r>
        <w:rPr>
          <w:rFonts w:hint="eastAsia" w:hAnsi="宋体"/>
          <w:color w:val="FF0000"/>
        </w:rPr>
        <w:fldChar w:fldCharType="separate"/>
      </w:r>
      <w:r>
        <w:rPr>
          <w:rFonts w:hint="eastAsia" w:hAnsi="宋体"/>
          <w:color w:val="FF0000"/>
        </w:rPr>
        <w:t>http://cx.cnca.cn</w:t>
      </w:r>
      <w:r>
        <w:rPr>
          <w:rFonts w:hint="eastAsia" w:hAnsi="宋体"/>
          <w:color w:val="FF0000"/>
        </w:rPr>
        <w:fldChar w:fldCharType="end"/>
      </w:r>
      <w:r>
        <w:rPr>
          <w:rFonts w:hint="eastAsia" w:hAnsi="宋体"/>
          <w:color w:val="FF0000"/>
        </w:rPr>
        <w:t>）截图，原件备查；</w:t>
      </w:r>
    </w:p>
    <w:p>
      <w:pPr>
        <w:pStyle w:val="2"/>
        <w:rPr>
          <w:rFonts w:ascii="宋体" w:hAnsi="宋体"/>
          <w:color w:val="FF0000"/>
          <w:sz w:val="21"/>
        </w:rPr>
      </w:pPr>
      <w:r>
        <w:rPr>
          <w:rFonts w:hint="eastAsia" w:ascii="宋体" w:hAnsi="宋体"/>
          <w:color w:val="FF0000"/>
          <w:sz w:val="21"/>
        </w:rPr>
        <w:t>3.7投标人须提供电线电缆的CCC强制性认证证书和电线电缆的工业产品生产许可证；</w:t>
      </w:r>
    </w:p>
    <w:p>
      <w:pPr>
        <w:spacing w:line="360" w:lineRule="auto"/>
        <w:ind w:firstLine="420" w:firstLineChars="200"/>
        <w:rPr>
          <w:rFonts w:hint="eastAsia" w:hAnsi="宋体"/>
          <w:color w:val="FF0000"/>
        </w:rPr>
      </w:pPr>
      <w:r>
        <w:rPr>
          <w:rFonts w:hint="eastAsia" w:hAnsi="宋体"/>
          <w:color w:val="FF0000"/>
        </w:rPr>
        <w:t>3.8本包别产品未因质量或其它原因在集团公司总部、辽河油田公司范围内通报处罚并处于处罚期内的。（中石油质量处罚以集团公司质量公告为准）；</w:t>
      </w:r>
    </w:p>
    <w:p>
      <w:pPr>
        <w:spacing w:line="360" w:lineRule="auto"/>
        <w:ind w:firstLine="420" w:firstLineChars="200"/>
        <w:rPr>
          <w:rFonts w:hint="eastAsia" w:hAnsi="宋体"/>
          <w:color w:val="FF0000"/>
        </w:rPr>
      </w:pPr>
      <w:r>
        <w:rPr>
          <w:rFonts w:hint="eastAsia" w:hAnsi="宋体"/>
          <w:color w:val="FF0000"/>
        </w:rPr>
        <w:t>3.9本项目不接受联合体投标；</w:t>
      </w:r>
    </w:p>
    <w:p>
      <w:pPr>
        <w:spacing w:line="360" w:lineRule="auto"/>
        <w:ind w:firstLine="420" w:firstLineChars="200"/>
        <w:rPr>
          <w:rFonts w:hint="eastAsia" w:hAnsi="宋体"/>
          <w:color w:val="FF0000"/>
        </w:rPr>
      </w:pPr>
      <w:r>
        <w:rPr>
          <w:rFonts w:hint="eastAsia" w:hAnsi="宋体"/>
          <w:color w:val="FF0000"/>
        </w:rPr>
        <w:t>3.10法律、法规及规章制度规定的其他资格要求。</w:t>
      </w:r>
    </w:p>
    <w:p>
      <w:pPr>
        <w:pStyle w:val="4"/>
        <w:spacing w:line="360" w:lineRule="auto"/>
        <w:ind w:firstLine="413" w:firstLineChars="196"/>
        <w:jc w:val="both"/>
        <w:rPr>
          <w:rFonts w:hint="eastAsia" w:ascii="宋体" w:hAnsi="宋体"/>
          <w:kern w:val="2"/>
          <w:sz w:val="21"/>
          <w:szCs w:val="21"/>
        </w:rPr>
      </w:pPr>
      <w:bookmarkStart w:id="29" w:name="_Toc23282"/>
      <w:r>
        <w:rPr>
          <w:rFonts w:hint="eastAsia" w:ascii="宋体" w:hAnsi="宋体"/>
          <w:kern w:val="2"/>
          <w:sz w:val="21"/>
          <w:szCs w:val="21"/>
        </w:rPr>
        <w:t>四、招标文件的获取</w:t>
      </w:r>
      <w:bookmarkEnd w:id="27"/>
      <w:bookmarkEnd w:id="29"/>
    </w:p>
    <w:p>
      <w:pPr>
        <w:spacing w:line="360" w:lineRule="auto"/>
        <w:ind w:firstLine="420" w:firstLineChars="200"/>
        <w:rPr>
          <w:rFonts w:hint="eastAsia" w:hAnsi="宋体"/>
          <w:szCs w:val="21"/>
        </w:rPr>
      </w:pPr>
      <w:bookmarkStart w:id="30" w:name="_Hlk104988625"/>
      <w:r>
        <w:rPr>
          <w:rFonts w:hint="eastAsia" w:hAnsi="宋体"/>
          <w:szCs w:val="21"/>
        </w:rPr>
        <w:t>4.1招标文件发售期为2022年</w:t>
      </w:r>
      <w:r>
        <w:rPr>
          <w:rFonts w:hAnsi="宋体"/>
          <w:szCs w:val="21"/>
        </w:rPr>
        <w:t>6</w:t>
      </w:r>
      <w:r>
        <w:rPr>
          <w:rFonts w:hint="eastAsia" w:hAnsi="宋体"/>
          <w:szCs w:val="21"/>
        </w:rPr>
        <w:t>月</w:t>
      </w:r>
      <w:r>
        <w:rPr>
          <w:rFonts w:hAnsi="宋体"/>
          <w:szCs w:val="21"/>
        </w:rPr>
        <w:t>30</w:t>
      </w:r>
      <w:r>
        <w:rPr>
          <w:rFonts w:hint="eastAsia" w:hAnsi="宋体"/>
          <w:szCs w:val="21"/>
        </w:rPr>
        <w:t>日至2022年</w:t>
      </w:r>
      <w:r>
        <w:rPr>
          <w:rFonts w:hAnsi="宋体"/>
          <w:szCs w:val="21"/>
        </w:rPr>
        <w:t>7</w:t>
      </w:r>
      <w:r>
        <w:rPr>
          <w:rFonts w:hint="eastAsia" w:hAnsi="宋体"/>
          <w:szCs w:val="21"/>
        </w:rPr>
        <w:t>月</w:t>
      </w:r>
      <w:r>
        <w:rPr>
          <w:rFonts w:hAnsi="宋体"/>
          <w:szCs w:val="21"/>
        </w:rPr>
        <w:t>6</w:t>
      </w:r>
      <w:r>
        <w:rPr>
          <w:rFonts w:hint="eastAsia" w:hAnsi="宋体"/>
          <w:szCs w:val="21"/>
        </w:rPr>
        <w:t>日23:59:59，凡有意参加投标者，请于上述时间进入中国石油招标投标网（互联网网址www.cnpcbidding.com）</w:t>
      </w:r>
      <w:r>
        <w:rPr>
          <w:rFonts w:hint="eastAsia"/>
          <w:szCs w:val="21"/>
        </w:rPr>
        <w:t>，点击招投标平台，登陆后在该项目处报名</w:t>
      </w:r>
      <w:r>
        <w:rPr>
          <w:rFonts w:hint="eastAsia" w:hAnsi="宋体"/>
          <w:szCs w:val="21"/>
        </w:rPr>
        <w:t>(详见中国石油招标投标交易平台-投标人用户手册)。</w:t>
      </w:r>
    </w:p>
    <w:bookmarkEnd w:id="30"/>
    <w:p>
      <w:pPr>
        <w:spacing w:line="360" w:lineRule="auto"/>
        <w:ind w:firstLine="420" w:firstLineChars="200"/>
        <w:rPr>
          <w:rFonts w:hint="eastAsia" w:hAnsi="宋体"/>
          <w:b/>
          <w:szCs w:val="21"/>
        </w:rPr>
      </w:pPr>
      <w:r>
        <w:rPr>
          <w:rFonts w:hint="eastAsia" w:hAnsi="宋体"/>
          <w:szCs w:val="21"/>
        </w:rPr>
        <w:t>4.2潜在投标人报名成功后，须使用该交易平台缴费模块进行招标文件缴费（资料包费），缴费成功后系统将自动开启招标文件下载权限。招标文件售价</w:t>
      </w:r>
      <w:r>
        <w:rPr>
          <w:rFonts w:hint="eastAsia" w:hAnsi="宋体"/>
          <w:color w:val="FF0000"/>
          <w:szCs w:val="21"/>
          <w:u w:val="single"/>
        </w:rPr>
        <w:t>2000</w:t>
      </w:r>
      <w:r>
        <w:rPr>
          <w:rFonts w:hint="eastAsia" w:hAnsi="宋体"/>
          <w:color w:val="FF0000"/>
          <w:szCs w:val="21"/>
        </w:rPr>
        <w:t>元</w:t>
      </w:r>
      <w:r>
        <w:rPr>
          <w:rFonts w:hint="eastAsia" w:hAnsi="宋体"/>
          <w:szCs w:val="21"/>
        </w:rPr>
        <w:t>人民币。</w:t>
      </w:r>
      <w:r>
        <w:rPr>
          <w:rFonts w:hint="eastAsia" w:hAnsi="宋体"/>
          <w:b/>
          <w:szCs w:val="21"/>
        </w:rPr>
        <w:t>缴费与招标文件下载方式见招标公告附件</w:t>
      </w:r>
      <w:r>
        <w:rPr>
          <w:rFonts w:hAnsi="宋体"/>
          <w:b/>
          <w:szCs w:val="21"/>
        </w:rPr>
        <w:t>2</w:t>
      </w:r>
      <w:r>
        <w:rPr>
          <w:rFonts w:hint="eastAsia" w:hAnsi="宋体"/>
          <w:b/>
          <w:szCs w:val="21"/>
        </w:rPr>
        <w:t>。</w:t>
      </w:r>
    </w:p>
    <w:p>
      <w:pPr>
        <w:spacing w:line="360" w:lineRule="auto"/>
        <w:ind w:firstLine="420" w:firstLineChars="200"/>
        <w:rPr>
          <w:rFonts w:hint="eastAsia" w:hAnsi="宋体"/>
          <w:szCs w:val="21"/>
        </w:rPr>
      </w:pPr>
      <w:r>
        <w:rPr>
          <w:rFonts w:hint="eastAsia" w:hAnsi="宋体"/>
          <w:szCs w:val="21"/>
        </w:rPr>
        <w:t>4.3在线购买招标文件。招标文件的售卖开始时间即招标文件发出时间，会略晚于招标公告发布时间，如遇无法报名请耐心等待，若招标公告发布第二天仍无法报名请及时联系项目负责人。招标文件售卖截止时间同报名截止时间，潜在投标人应在报名截止时间前完成招标文件的在线购买（注意：购买招标文件是投标报名的必经程序,报名截止时间前未完成招标文件在线购买的视为未完成对应的标段/包的报名，投标将被拒绝），招标人/招标代理机构不再提供纸质招标文件。</w:t>
      </w:r>
    </w:p>
    <w:p>
      <w:pPr>
        <w:spacing w:line="360" w:lineRule="auto"/>
        <w:ind w:firstLine="420" w:firstLineChars="200"/>
        <w:rPr>
          <w:rFonts w:hint="eastAsia" w:hAnsi="宋体"/>
          <w:szCs w:val="21"/>
        </w:rPr>
      </w:pPr>
      <w:r>
        <w:rPr>
          <w:rFonts w:hint="eastAsia" w:hAnsi="宋体"/>
          <w:szCs w:val="21"/>
        </w:rPr>
        <w:t>4.4招标文件购买操作失败或其他系统问题，请与平台运营单位联系。咨询电话: 4008800114语音导航转电子招标平台。</w:t>
      </w:r>
    </w:p>
    <w:p>
      <w:pPr>
        <w:spacing w:line="360" w:lineRule="auto"/>
        <w:ind w:firstLine="422" w:firstLineChars="200"/>
        <w:rPr>
          <w:rFonts w:hint="eastAsia" w:hAnsi="宋体"/>
          <w:b/>
          <w:szCs w:val="18"/>
        </w:rPr>
      </w:pPr>
      <w:r>
        <w:rPr>
          <w:rFonts w:hint="eastAsia" w:hAnsi="宋体"/>
          <w:b/>
          <w:szCs w:val="18"/>
        </w:rPr>
        <w:t>4.5辽河油田招标中心目前仅提供在中国石油电子招标投标交易平台线上购买招标文件的缴费方式（具体操作参见招标公告附件</w:t>
      </w:r>
      <w:r>
        <w:rPr>
          <w:rFonts w:hAnsi="宋体"/>
          <w:b/>
          <w:szCs w:val="18"/>
        </w:rPr>
        <w:t>2</w:t>
      </w:r>
      <w:r>
        <w:rPr>
          <w:rFonts w:hint="eastAsia" w:hAnsi="宋体"/>
          <w:b/>
          <w:szCs w:val="18"/>
        </w:rPr>
        <w:t>），潜在投标人以现金、电汇等其它方式购买招标文件将被拒绝，若出现潜在投标人未使用该交易平台购买导致的购买失败等一切问题，辽河油田招标中心不承担投标人的任何损失。</w:t>
      </w:r>
    </w:p>
    <w:p>
      <w:pPr>
        <w:spacing w:line="360" w:lineRule="auto"/>
        <w:ind w:firstLine="422" w:firstLineChars="200"/>
        <w:rPr>
          <w:rFonts w:hint="eastAsia" w:hAnsi="宋体"/>
          <w:b/>
          <w:szCs w:val="18"/>
        </w:rPr>
      </w:pPr>
      <w:r>
        <w:rPr>
          <w:rFonts w:hint="eastAsia" w:hAnsi="宋体"/>
          <w:b/>
          <w:szCs w:val="18"/>
        </w:rPr>
        <w:t>4.6投标报名截止时间后，购买招标文件不足三家，系统将自动提醒已购买招标文件的潜在投标人。各潜在投标人应确认在交易平台预留的联系方式真实有效，以便接收项目情况的各项通知。</w:t>
      </w:r>
    </w:p>
    <w:p>
      <w:pPr>
        <w:spacing w:line="360" w:lineRule="auto"/>
        <w:ind w:firstLine="422" w:firstLineChars="200"/>
        <w:rPr>
          <w:rFonts w:hint="eastAsia" w:hAnsi="宋体"/>
          <w:b/>
          <w:szCs w:val="18"/>
        </w:rPr>
      </w:pPr>
      <w:r>
        <w:rPr>
          <w:rFonts w:hint="eastAsia" w:hAnsi="宋体"/>
          <w:b/>
          <w:szCs w:val="18"/>
        </w:rPr>
        <w:t>4.7资料包费增值税发票将于项目开标当天统一开具，并快递发给各投标人。请各潜在投标人核查在电子交易平台中预留的开票信息、联系方式、电子邮箱和地址等基本信息准确有效。</w:t>
      </w:r>
    </w:p>
    <w:p>
      <w:pPr>
        <w:pStyle w:val="4"/>
        <w:ind w:firstLine="413" w:firstLineChars="196"/>
        <w:jc w:val="both"/>
        <w:rPr>
          <w:rFonts w:hint="eastAsia" w:ascii="宋体" w:hAnsi="宋体"/>
          <w:kern w:val="2"/>
          <w:sz w:val="21"/>
          <w:szCs w:val="21"/>
        </w:rPr>
      </w:pPr>
      <w:bookmarkStart w:id="31" w:name="_Toc29793"/>
      <w:r>
        <w:rPr>
          <w:rFonts w:hint="eastAsia" w:ascii="宋体" w:hAnsi="宋体"/>
          <w:kern w:val="2"/>
          <w:sz w:val="21"/>
          <w:szCs w:val="21"/>
        </w:rPr>
        <w:t>五、投标文件的递交</w:t>
      </w:r>
      <w:bookmarkEnd w:id="31"/>
    </w:p>
    <w:p>
      <w:pPr>
        <w:spacing w:line="360" w:lineRule="auto"/>
        <w:ind w:firstLine="420" w:firstLineChars="200"/>
        <w:rPr>
          <w:rFonts w:hint="eastAsia" w:hAnsi="宋体"/>
          <w:szCs w:val="21"/>
        </w:rPr>
      </w:pPr>
      <w:r>
        <w:rPr>
          <w:rFonts w:hint="eastAsia" w:hAnsi="宋体"/>
          <w:szCs w:val="21"/>
        </w:rPr>
        <w:t>5.1所有投标文件应于2022年</w:t>
      </w:r>
      <w:r>
        <w:rPr>
          <w:rFonts w:hAnsi="宋体"/>
          <w:szCs w:val="21"/>
        </w:rPr>
        <w:t>7</w:t>
      </w:r>
      <w:r>
        <w:rPr>
          <w:rFonts w:hint="eastAsia" w:hAnsi="宋体"/>
          <w:szCs w:val="21"/>
        </w:rPr>
        <w:t>月</w:t>
      </w:r>
      <w:r>
        <w:rPr>
          <w:rFonts w:hAnsi="宋体"/>
          <w:szCs w:val="21"/>
        </w:rPr>
        <w:t>21</w:t>
      </w:r>
      <w:r>
        <w:rPr>
          <w:rFonts w:hint="eastAsia" w:hAnsi="宋体"/>
          <w:szCs w:val="21"/>
        </w:rPr>
        <w:t>日 08:30:00（北京时间，24小时制）之前加密后上传至中国石油招标投标交易平台（互联网网址：www.cnpcbidding.com）。</w:t>
      </w:r>
    </w:p>
    <w:p>
      <w:pPr>
        <w:spacing w:line="360" w:lineRule="auto"/>
        <w:ind w:firstLine="420" w:firstLineChars="200"/>
        <w:rPr>
          <w:rFonts w:hint="eastAsia" w:hAnsi="宋体"/>
          <w:szCs w:val="21"/>
        </w:rPr>
      </w:pPr>
      <w:r>
        <w:rPr>
          <w:rFonts w:hint="eastAsia" w:hAnsi="宋体"/>
          <w:szCs w:val="21"/>
        </w:rPr>
        <w:t>5.2投标人在开标前，投标人应向招标机构提交</w:t>
      </w:r>
      <w:r>
        <w:rPr>
          <w:rFonts w:hint="eastAsia" w:hAnsi="宋体"/>
          <w:color w:val="FF0000"/>
          <w:szCs w:val="21"/>
          <w:u w:val="single"/>
        </w:rPr>
        <w:t>20000</w:t>
      </w:r>
      <w:r>
        <w:rPr>
          <w:rFonts w:hint="eastAsia" w:hAnsi="宋体"/>
          <w:color w:val="FF0000"/>
          <w:szCs w:val="21"/>
        </w:rPr>
        <w:t>元</w:t>
      </w:r>
      <w:r>
        <w:rPr>
          <w:rFonts w:hint="eastAsia" w:hAnsi="宋体"/>
          <w:szCs w:val="21"/>
        </w:rPr>
        <w:t>人民币投标保证金，该费用需通过中国石油电子招标投标交易平台进行缴纳。</w:t>
      </w:r>
      <w:r>
        <w:rPr>
          <w:rFonts w:hint="eastAsia" w:hAnsi="宋体"/>
          <w:b/>
          <w:szCs w:val="21"/>
        </w:rPr>
        <w:t>缴纳方式参见招标公告附件</w:t>
      </w:r>
      <w:r>
        <w:rPr>
          <w:rFonts w:hAnsi="宋体"/>
          <w:b/>
          <w:szCs w:val="21"/>
        </w:rPr>
        <w:t>3</w:t>
      </w:r>
      <w:r>
        <w:rPr>
          <w:rFonts w:hint="eastAsia" w:hAnsi="宋体"/>
          <w:szCs w:val="21"/>
        </w:rPr>
        <w:t>。</w:t>
      </w:r>
    </w:p>
    <w:p>
      <w:pPr>
        <w:spacing w:line="360" w:lineRule="auto"/>
        <w:ind w:firstLine="420" w:firstLineChars="200"/>
        <w:rPr>
          <w:rFonts w:hint="eastAsia" w:hAnsi="宋体"/>
          <w:szCs w:val="21"/>
        </w:rPr>
      </w:pPr>
      <w:r>
        <w:rPr>
          <w:rFonts w:hint="eastAsia" w:hAnsi="宋体"/>
          <w:szCs w:val="21"/>
        </w:rPr>
        <w:t>5.3如在递交截止时间前未能成功上传投标文件</w:t>
      </w:r>
      <w:r>
        <w:rPr>
          <w:rFonts w:hAnsi="宋体"/>
          <w:szCs w:val="21"/>
        </w:rPr>
        <w:t>，视为主动撤回投标文件</w:t>
      </w:r>
      <w:r>
        <w:rPr>
          <w:rFonts w:hint="eastAsia" w:hAnsi="宋体"/>
          <w:szCs w:val="21"/>
        </w:rPr>
        <w:t>，投标将被拒绝。具体办理流程参见投标人用户手册</w:t>
      </w:r>
      <w:r>
        <w:rPr>
          <w:rFonts w:hAnsi="宋体"/>
          <w:szCs w:val="21"/>
        </w:rPr>
        <w:t>(考虑投标人众多，避免受网速以及网站技术支持的时间</w:t>
      </w:r>
      <w:r>
        <w:rPr>
          <w:rFonts w:hint="eastAsia" w:hAnsi="宋体"/>
          <w:szCs w:val="21"/>
        </w:rPr>
        <w:t>等因素影响造成投标失败</w:t>
      </w:r>
      <w:r>
        <w:rPr>
          <w:rFonts w:hAnsi="宋体"/>
          <w:szCs w:val="21"/>
        </w:rPr>
        <w:t>，建议投标截止时间前</w:t>
      </w:r>
      <w:r>
        <w:rPr>
          <w:rFonts w:hint="eastAsia" w:hAnsi="宋体"/>
          <w:szCs w:val="21"/>
        </w:rPr>
        <w:t>72</w:t>
      </w:r>
      <w:r>
        <w:rPr>
          <w:rFonts w:hAnsi="宋体"/>
          <w:szCs w:val="21"/>
        </w:rPr>
        <w:t>小时完成网上电子投标以及投标保证金的提交）</w:t>
      </w:r>
      <w:r>
        <w:rPr>
          <w:rFonts w:hint="eastAsia" w:hAnsi="宋体"/>
          <w:szCs w:val="21"/>
        </w:rPr>
        <w:t>。</w:t>
      </w:r>
      <w:r>
        <w:rPr>
          <w:rFonts w:hAnsi="宋体"/>
          <w:szCs w:val="21"/>
        </w:rPr>
        <w:t>电子投标文件的提交须使用已灌章的U-key</w:t>
      </w:r>
      <w:r>
        <w:rPr>
          <w:rFonts w:hint="eastAsia" w:hAnsi="宋体"/>
          <w:szCs w:val="21"/>
        </w:rPr>
        <w:t>，目前投标人在辽河油田招标中心参与招投标活动仅需办理公章</w:t>
      </w:r>
      <w:r>
        <w:rPr>
          <w:rFonts w:hAnsi="宋体"/>
          <w:szCs w:val="21"/>
        </w:rPr>
        <w:t>U-K</w:t>
      </w:r>
      <w:r>
        <w:rPr>
          <w:rFonts w:hint="eastAsia" w:hAnsi="宋体"/>
          <w:szCs w:val="21"/>
        </w:rPr>
        <w:t>ey，我中心不强制要求投标人办理法定代表人</w:t>
      </w:r>
      <w:r>
        <w:rPr>
          <w:rFonts w:hAnsi="宋体"/>
          <w:szCs w:val="21"/>
        </w:rPr>
        <w:t>U</w:t>
      </w:r>
      <w:r>
        <w:rPr>
          <w:rFonts w:hint="eastAsia" w:hAnsi="宋体"/>
          <w:szCs w:val="21"/>
        </w:rPr>
        <w:t>-</w:t>
      </w:r>
      <w:r>
        <w:rPr>
          <w:rFonts w:hAnsi="宋体"/>
          <w:szCs w:val="21"/>
        </w:rPr>
        <w:t>K</w:t>
      </w:r>
      <w:r>
        <w:rPr>
          <w:rFonts w:hint="eastAsia" w:hAnsi="宋体"/>
          <w:szCs w:val="21"/>
        </w:rPr>
        <w:t>ey及授权委托人U-</w:t>
      </w:r>
      <w:r>
        <w:rPr>
          <w:rFonts w:hAnsi="宋体"/>
          <w:szCs w:val="21"/>
        </w:rPr>
        <w:t>K</w:t>
      </w:r>
      <w:r>
        <w:rPr>
          <w:rFonts w:hint="eastAsia" w:hAnsi="宋体"/>
          <w:szCs w:val="21"/>
        </w:rPr>
        <w:t>ey</w:t>
      </w:r>
      <w:r>
        <w:rPr>
          <w:rFonts w:hAnsi="宋体"/>
          <w:szCs w:val="21"/>
        </w:rPr>
        <w:t>。未办理U-key的投标人，需到昆仑银行办理U-key</w:t>
      </w:r>
      <w:r>
        <w:rPr>
          <w:rFonts w:hint="eastAsia" w:hAnsi="宋体"/>
          <w:szCs w:val="21"/>
        </w:rPr>
        <w:t>，或登录中石油招标投标网线上办理。</w:t>
      </w:r>
    </w:p>
    <w:p>
      <w:pPr>
        <w:spacing w:line="360" w:lineRule="auto"/>
        <w:ind w:firstLine="420" w:firstLineChars="200"/>
        <w:rPr>
          <w:rFonts w:hint="eastAsia" w:hAnsi="宋体"/>
          <w:szCs w:val="21"/>
        </w:rPr>
      </w:pPr>
      <w:r>
        <w:rPr>
          <w:rFonts w:hint="eastAsia" w:hAnsi="宋体"/>
          <w:szCs w:val="21"/>
        </w:rPr>
        <w:t>5.4 投标费用：投标人应自行承担编制投标文件等所涉及的一切费用。招标人及招标代理机构不承担投标人因投标所发生的任何费用。</w:t>
      </w:r>
    </w:p>
    <w:p>
      <w:pPr>
        <w:pStyle w:val="4"/>
        <w:ind w:firstLine="413" w:firstLineChars="196"/>
        <w:jc w:val="both"/>
        <w:rPr>
          <w:rFonts w:ascii="宋体" w:hAnsi="宋体"/>
          <w:kern w:val="2"/>
          <w:sz w:val="21"/>
          <w:szCs w:val="21"/>
        </w:rPr>
      </w:pPr>
      <w:bookmarkStart w:id="32" w:name="_Toc21292"/>
      <w:r>
        <w:rPr>
          <w:rFonts w:hint="eastAsia" w:ascii="宋体" w:hAnsi="宋体"/>
          <w:kern w:val="2"/>
          <w:sz w:val="21"/>
          <w:szCs w:val="21"/>
        </w:rPr>
        <w:t>六、</w:t>
      </w:r>
      <w:r>
        <w:rPr>
          <w:rFonts w:ascii="宋体" w:hAnsi="宋体"/>
          <w:kern w:val="2"/>
          <w:sz w:val="21"/>
          <w:szCs w:val="21"/>
        </w:rPr>
        <w:t>发布公告的媒体</w:t>
      </w:r>
      <w:bookmarkEnd w:id="32"/>
    </w:p>
    <w:p>
      <w:pPr>
        <w:spacing w:line="360" w:lineRule="auto"/>
        <w:ind w:firstLine="420" w:firstLineChars="200"/>
        <w:rPr>
          <w:rFonts w:hint="eastAsia" w:hAnsi="宋体"/>
          <w:szCs w:val="21"/>
        </w:rPr>
      </w:pPr>
      <w:r>
        <w:rPr>
          <w:rFonts w:hint="eastAsia" w:hAnsi="宋体"/>
          <w:szCs w:val="21"/>
        </w:rPr>
        <w:t>6.1本次招标公告在中国石油招标投标网（互联网网址www.cnpcbidding.com）公布。因轻信其他组织、个人或媒介提供的信息而造成的损失，招标人、招标代理机构概不负责。</w:t>
      </w:r>
    </w:p>
    <w:p>
      <w:pPr>
        <w:spacing w:line="360" w:lineRule="auto"/>
        <w:ind w:firstLine="420" w:firstLineChars="200"/>
        <w:rPr>
          <w:rFonts w:hint="eastAsia"/>
        </w:rPr>
      </w:pPr>
      <w:r>
        <w:t>6.2各潜在投标人可搜索并关注辽河油田招标中心微信公众号，获取每日招标相关信息。</w:t>
      </w:r>
    </w:p>
    <w:p>
      <w:pPr>
        <w:spacing w:line="360" w:lineRule="auto"/>
        <w:ind w:firstLine="420" w:firstLineChars="200"/>
        <w:rPr>
          <w:rFonts w:hint="eastAsia" w:hAnsi="宋体"/>
          <w:szCs w:val="21"/>
        </w:rPr>
      </w:pPr>
      <w:r>
        <w:rPr>
          <w:rFonts w:hint="eastAsia" w:hAnsi="宋体"/>
          <w:szCs w:val="21"/>
        </w:rPr>
        <w:t>6.3</w:t>
      </w:r>
      <w:r>
        <w:rPr>
          <w:rFonts w:hAnsi="宋体"/>
          <w:szCs w:val="21"/>
        </w:rPr>
        <w:t>中标通知书</w:t>
      </w:r>
      <w:r>
        <w:rPr>
          <w:rFonts w:hint="eastAsia" w:hAnsi="宋体"/>
          <w:szCs w:val="21"/>
        </w:rPr>
        <w:t>会采用电子</w:t>
      </w:r>
      <w:r>
        <w:rPr>
          <w:rFonts w:hAnsi="宋体"/>
          <w:szCs w:val="21"/>
        </w:rPr>
        <w:t>中标通知书的形式为中标人发放</w:t>
      </w:r>
      <w:r>
        <w:rPr>
          <w:rFonts w:hint="eastAsia" w:hAnsi="宋体"/>
          <w:szCs w:val="21"/>
        </w:rPr>
        <w:t>（招标</w:t>
      </w:r>
      <w:r>
        <w:rPr>
          <w:rFonts w:hAnsi="宋体"/>
          <w:szCs w:val="21"/>
        </w:rPr>
        <w:t>改谈判项目除外</w:t>
      </w:r>
      <w:r>
        <w:rPr>
          <w:rFonts w:hint="eastAsia" w:hAnsi="宋体"/>
          <w:szCs w:val="21"/>
        </w:rPr>
        <w:t>）</w:t>
      </w:r>
      <w:r>
        <w:rPr>
          <w:rFonts w:hAnsi="宋体"/>
          <w:szCs w:val="21"/>
        </w:rPr>
        <w:t>，</w:t>
      </w:r>
      <w:r>
        <w:rPr>
          <w:rFonts w:hint="eastAsia" w:hAnsi="宋体"/>
          <w:szCs w:val="21"/>
        </w:rPr>
        <w:t>请</w:t>
      </w:r>
      <w:r>
        <w:rPr>
          <w:rFonts w:hAnsi="宋体"/>
          <w:szCs w:val="21"/>
        </w:rPr>
        <w:t>中标人在中标候选人公示期结束后及时</w:t>
      </w:r>
      <w:r>
        <w:rPr>
          <w:rFonts w:hint="eastAsia" w:hAnsi="宋体"/>
          <w:szCs w:val="21"/>
        </w:rPr>
        <w:t>缴纳</w:t>
      </w:r>
      <w:r>
        <w:rPr>
          <w:rFonts w:hAnsi="宋体"/>
          <w:szCs w:val="21"/>
        </w:rPr>
        <w:t>招标代理服务费，</w:t>
      </w:r>
      <w:r>
        <w:rPr>
          <w:rFonts w:hint="eastAsia" w:hAnsi="宋体"/>
          <w:szCs w:val="21"/>
        </w:rPr>
        <w:t>招标中心</w:t>
      </w:r>
      <w:r>
        <w:rPr>
          <w:rFonts w:hAnsi="宋体"/>
          <w:szCs w:val="21"/>
        </w:rPr>
        <w:t>在确认缴纳信息后</w:t>
      </w:r>
      <w:r>
        <w:rPr>
          <w:rFonts w:hint="eastAsia" w:hAnsi="宋体"/>
          <w:szCs w:val="21"/>
        </w:rPr>
        <w:t>会</w:t>
      </w:r>
      <w:r>
        <w:rPr>
          <w:rFonts w:hAnsi="宋体"/>
          <w:szCs w:val="21"/>
        </w:rPr>
        <w:t>将电子中标通知书</w:t>
      </w:r>
      <w:r>
        <w:rPr>
          <w:rFonts w:hint="eastAsia" w:hAnsi="宋体"/>
          <w:szCs w:val="21"/>
        </w:rPr>
        <w:t>通过</w:t>
      </w:r>
      <w:r>
        <w:rPr>
          <w:rFonts w:hAnsi="宋体"/>
          <w:szCs w:val="21"/>
        </w:rPr>
        <w:t>电子交易平台发送给</w:t>
      </w:r>
      <w:r>
        <w:rPr>
          <w:rFonts w:hint="eastAsia" w:hAnsi="宋体"/>
          <w:szCs w:val="21"/>
        </w:rPr>
        <w:t>中标人</w:t>
      </w:r>
      <w:r>
        <w:rPr>
          <w:rFonts w:hAnsi="宋体"/>
          <w:szCs w:val="21"/>
        </w:rPr>
        <w:t>。</w:t>
      </w:r>
    </w:p>
    <w:p>
      <w:pPr>
        <w:pStyle w:val="4"/>
        <w:ind w:firstLine="413" w:firstLineChars="196"/>
        <w:jc w:val="both"/>
        <w:rPr>
          <w:rFonts w:hint="eastAsia" w:ascii="宋体" w:hAnsi="宋体"/>
          <w:kern w:val="2"/>
          <w:sz w:val="21"/>
          <w:szCs w:val="21"/>
        </w:rPr>
      </w:pPr>
      <w:bookmarkStart w:id="33" w:name="_Toc23543"/>
      <w:r>
        <w:rPr>
          <w:rFonts w:hint="eastAsia" w:ascii="宋体" w:hAnsi="宋体"/>
          <w:kern w:val="2"/>
          <w:sz w:val="21"/>
          <w:szCs w:val="21"/>
        </w:rPr>
        <w:t>七、招标代理服务费</w:t>
      </w:r>
      <w:bookmarkEnd w:id="33"/>
    </w:p>
    <w:p>
      <w:pPr>
        <w:spacing w:line="360" w:lineRule="auto"/>
        <w:ind w:firstLine="411" w:firstLineChars="196"/>
        <w:rPr>
          <w:rFonts w:hint="eastAsia" w:hAnsi="宋体"/>
          <w:szCs w:val="21"/>
        </w:rPr>
      </w:pPr>
      <w:r>
        <w:rPr>
          <w:rFonts w:hint="eastAsia" w:hAnsi="宋体"/>
          <w:szCs w:val="21"/>
        </w:rPr>
        <w:t>7.1</w:t>
      </w:r>
      <w:bookmarkStart w:id="34" w:name="_Toc309652502"/>
      <w:r>
        <w:rPr>
          <w:rFonts w:hint="eastAsia" w:hAnsi="宋体"/>
          <w:szCs w:val="21"/>
        </w:rPr>
        <w:t>本项目招标代理服务费由中标人支付，依据辽河石油勘探局有限公司物资分公司提供的采购额度，按照油田公司下发的《辽河油田公司采购活动收取费用管理细则》（中油辽字[2019]218号）文件规定确定招标代理服务费金额，由辽河石油勘探局有限公司物资分公司从中标人货款中扣除并转招标中心。详见招标公告附件-缴费方式。</w:t>
      </w:r>
    </w:p>
    <w:p>
      <w:pPr>
        <w:pStyle w:val="4"/>
        <w:ind w:firstLine="413" w:firstLineChars="196"/>
        <w:jc w:val="both"/>
        <w:rPr>
          <w:rFonts w:hint="eastAsia" w:ascii="宋体" w:hAnsi="宋体"/>
          <w:kern w:val="2"/>
          <w:sz w:val="21"/>
          <w:szCs w:val="21"/>
        </w:rPr>
      </w:pPr>
      <w:bookmarkStart w:id="35" w:name="_Toc7874"/>
      <w:r>
        <w:rPr>
          <w:rFonts w:hint="eastAsia" w:ascii="宋体" w:hAnsi="宋体"/>
          <w:kern w:val="2"/>
          <w:sz w:val="21"/>
          <w:szCs w:val="21"/>
        </w:rPr>
        <w:t>八、开标</w:t>
      </w:r>
      <w:bookmarkEnd w:id="34"/>
      <w:bookmarkEnd w:id="35"/>
    </w:p>
    <w:p>
      <w:pPr>
        <w:spacing w:line="360" w:lineRule="auto"/>
        <w:ind w:firstLine="420" w:firstLineChars="200"/>
        <w:rPr>
          <w:rFonts w:hint="eastAsia" w:hAnsi="宋体"/>
          <w:szCs w:val="21"/>
        </w:rPr>
      </w:pPr>
      <w:bookmarkStart w:id="36" w:name="_Hlk104988641"/>
      <w:r>
        <w:rPr>
          <w:rFonts w:hint="eastAsia" w:hAnsi="宋体"/>
          <w:szCs w:val="21"/>
        </w:rPr>
        <w:t>8.1开标时间：2022年</w:t>
      </w:r>
      <w:r>
        <w:rPr>
          <w:rFonts w:hAnsi="宋体"/>
          <w:szCs w:val="21"/>
        </w:rPr>
        <w:t>7</w:t>
      </w:r>
      <w:r>
        <w:rPr>
          <w:rFonts w:hint="eastAsia" w:hAnsi="宋体"/>
          <w:szCs w:val="21"/>
        </w:rPr>
        <w:t>月</w:t>
      </w:r>
      <w:r>
        <w:rPr>
          <w:rFonts w:hAnsi="宋体"/>
          <w:szCs w:val="21"/>
        </w:rPr>
        <w:t>21</w:t>
      </w:r>
      <w:r>
        <w:rPr>
          <w:rFonts w:hint="eastAsia" w:hAnsi="宋体"/>
          <w:szCs w:val="21"/>
        </w:rPr>
        <w:t>日  08:30:00</w:t>
      </w:r>
    </w:p>
    <w:bookmarkEnd w:id="36"/>
    <w:p>
      <w:pPr>
        <w:spacing w:line="360" w:lineRule="auto"/>
        <w:ind w:firstLine="420" w:firstLineChars="200"/>
        <w:rPr>
          <w:rFonts w:hint="eastAsia" w:hAnsi="宋体"/>
          <w:szCs w:val="21"/>
        </w:rPr>
      </w:pPr>
      <w:r>
        <w:rPr>
          <w:rFonts w:hint="eastAsia" w:hAnsi="宋体"/>
          <w:szCs w:val="21"/>
        </w:rPr>
        <w:t>8.2开标地点：除招标文件有明确规定的情形以外，投标人可自行选择至现场开标大厅或通过线上开标大厅参加开标仪式。</w:t>
      </w:r>
    </w:p>
    <w:p>
      <w:pPr>
        <w:spacing w:line="360" w:lineRule="auto"/>
        <w:ind w:firstLine="420" w:firstLineChars="200"/>
        <w:rPr>
          <w:rFonts w:hint="eastAsia" w:hAnsi="宋体"/>
          <w:szCs w:val="21"/>
        </w:rPr>
      </w:pPr>
      <w:r>
        <w:rPr>
          <w:rFonts w:hint="eastAsia" w:hAnsi="宋体"/>
          <w:szCs w:val="21"/>
        </w:rPr>
        <w:t>8.2.1线上开标大厅：中国石油招标投标网（网址：</w:t>
      </w:r>
      <w:r>
        <w:rPr>
          <w:rFonts w:hAnsi="宋体"/>
          <w:szCs w:val="21"/>
        </w:rPr>
        <w:fldChar w:fldCharType="begin"/>
      </w:r>
      <w:r>
        <w:rPr>
          <w:rFonts w:hAnsi="宋体"/>
          <w:szCs w:val="21"/>
        </w:rPr>
        <w:instrText xml:space="preserve"> HYPERLINK "http://www.cnpcbidding.com" </w:instrText>
      </w:r>
      <w:r>
        <w:rPr>
          <w:rFonts w:hAnsi="宋体"/>
          <w:szCs w:val="21"/>
        </w:rPr>
        <w:fldChar w:fldCharType="separate"/>
      </w:r>
      <w:r>
        <w:rPr>
          <w:rStyle w:val="52"/>
          <w:rFonts w:hAnsi="宋体"/>
          <w:color w:val="auto"/>
          <w:szCs w:val="21"/>
        </w:rPr>
        <w:t>http://www.cnpcbidding.com</w:t>
      </w:r>
      <w:r>
        <w:rPr>
          <w:rFonts w:hAnsi="宋体"/>
          <w:szCs w:val="21"/>
        </w:rPr>
        <w:fldChar w:fldCharType="end"/>
      </w:r>
      <w:r>
        <w:rPr>
          <w:rFonts w:hint="eastAsia" w:hAnsi="宋体"/>
          <w:szCs w:val="21"/>
        </w:rPr>
        <w:t>）点击跳转至招投标平台；</w:t>
      </w:r>
    </w:p>
    <w:p>
      <w:pPr>
        <w:spacing w:line="360" w:lineRule="auto"/>
        <w:ind w:firstLine="420" w:firstLineChars="200"/>
        <w:rPr>
          <w:rFonts w:hint="eastAsia" w:hAnsi="宋体"/>
          <w:szCs w:val="21"/>
        </w:rPr>
      </w:pPr>
      <w:r>
        <w:rPr>
          <w:rFonts w:hint="eastAsia" w:hAnsi="宋体"/>
          <w:szCs w:val="21"/>
        </w:rPr>
        <w:t>8.2.2现场开标大厅：辽宁省盘锦市兴隆台区渤海街供应委永祥小区辽河油田招标中心综合服务楼303室（由于疫情防控的需要，不建议投标人至现场参加开标仪式，如确有需求，请提前联系）。</w:t>
      </w:r>
    </w:p>
    <w:p>
      <w:pPr>
        <w:pStyle w:val="4"/>
        <w:ind w:firstLine="413" w:firstLineChars="196"/>
        <w:jc w:val="both"/>
        <w:rPr>
          <w:rFonts w:hint="eastAsia" w:ascii="宋体" w:hAnsi="宋体"/>
          <w:kern w:val="2"/>
          <w:sz w:val="21"/>
          <w:szCs w:val="21"/>
        </w:rPr>
      </w:pPr>
      <w:bookmarkStart w:id="37" w:name="_Toc6344"/>
      <w:r>
        <w:rPr>
          <w:rFonts w:hint="eastAsia" w:ascii="宋体" w:hAnsi="宋体"/>
          <w:kern w:val="2"/>
          <w:sz w:val="21"/>
          <w:szCs w:val="21"/>
        </w:rPr>
        <w:t>九、联系方式</w:t>
      </w:r>
      <w:bookmarkEnd w:id="37"/>
    </w:p>
    <w:p>
      <w:pPr>
        <w:spacing w:line="360" w:lineRule="auto"/>
        <w:ind w:firstLine="420" w:firstLineChars="200"/>
        <w:rPr>
          <w:rFonts w:hint="eastAsia" w:hAnsi="宋体"/>
          <w:szCs w:val="21"/>
        </w:rPr>
      </w:pPr>
      <w:r>
        <w:rPr>
          <w:rFonts w:hint="eastAsia" w:hAnsi="宋体"/>
          <w:szCs w:val="21"/>
        </w:rPr>
        <w:t>招标代理机构：中国石油辽河油田招标中心</w:t>
      </w:r>
    </w:p>
    <w:p>
      <w:pPr>
        <w:spacing w:line="360" w:lineRule="auto"/>
        <w:ind w:firstLine="420" w:firstLineChars="200"/>
        <w:rPr>
          <w:rFonts w:hint="eastAsia" w:hAnsi="宋体"/>
          <w:szCs w:val="21"/>
        </w:rPr>
      </w:pPr>
      <w:r>
        <w:rPr>
          <w:rFonts w:hint="eastAsia" w:hAnsi="宋体"/>
          <w:szCs w:val="21"/>
        </w:rPr>
        <w:t>地址：辽宁省盘锦市兴隆台区渤海街供应委永祥小区辽河油田招标中心</w:t>
      </w:r>
    </w:p>
    <w:p>
      <w:pPr>
        <w:spacing w:line="360" w:lineRule="auto"/>
        <w:ind w:firstLine="420" w:firstLineChars="200"/>
        <w:rPr>
          <w:rFonts w:hint="eastAsia" w:hAnsi="宋体"/>
          <w:szCs w:val="21"/>
        </w:rPr>
      </w:pPr>
      <w:r>
        <w:rPr>
          <w:rFonts w:hint="eastAsia" w:hAnsi="宋体"/>
          <w:szCs w:val="21"/>
        </w:rPr>
        <w:t>邮编：124012</w:t>
      </w:r>
    </w:p>
    <w:p>
      <w:pPr>
        <w:spacing w:line="360" w:lineRule="auto"/>
        <w:ind w:firstLine="420" w:firstLineChars="200"/>
        <w:rPr>
          <w:rFonts w:hint="eastAsia" w:hAnsi="宋体"/>
          <w:szCs w:val="21"/>
        </w:rPr>
      </w:pPr>
      <w:r>
        <w:rPr>
          <w:rFonts w:hint="eastAsia" w:hAnsi="宋体"/>
          <w:szCs w:val="21"/>
        </w:rPr>
        <w:t>联系人：刘先生</w:t>
      </w:r>
    </w:p>
    <w:p>
      <w:pPr>
        <w:spacing w:line="360" w:lineRule="auto"/>
        <w:ind w:firstLine="420" w:firstLineChars="200"/>
        <w:rPr>
          <w:rFonts w:hAnsi="宋体"/>
          <w:szCs w:val="21"/>
        </w:rPr>
      </w:pPr>
      <w:r>
        <w:rPr>
          <w:rFonts w:hint="eastAsia" w:hAnsi="宋体"/>
          <w:szCs w:val="21"/>
        </w:rPr>
        <w:t xml:space="preserve">联系电话：0427-7305805/18942782927 </w:t>
      </w:r>
    </w:p>
    <w:p>
      <w:pPr>
        <w:spacing w:line="360" w:lineRule="auto"/>
        <w:ind w:firstLine="420" w:firstLineChars="200"/>
        <w:rPr>
          <w:rFonts w:hint="eastAsia" w:hAnsi="宋体"/>
          <w:szCs w:val="21"/>
        </w:rPr>
      </w:pPr>
      <w:r>
        <w:rPr>
          <w:rFonts w:hint="eastAsia" w:hAnsi="宋体"/>
          <w:szCs w:val="21"/>
        </w:rPr>
        <w:t>电子邮箱：</w:t>
      </w:r>
      <w:r>
        <w:rPr>
          <w:rFonts w:hAnsi="宋体"/>
          <w:szCs w:val="21"/>
        </w:rPr>
        <w:fldChar w:fldCharType="begin"/>
      </w:r>
      <w:r>
        <w:rPr>
          <w:rFonts w:hAnsi="宋体"/>
          <w:szCs w:val="21"/>
        </w:rPr>
        <w:instrText xml:space="preserve"> HYPERLINK "mailto:</w:instrText>
      </w:r>
      <w:r>
        <w:rPr>
          <w:rFonts w:hint="eastAsia" w:hAnsi="宋体"/>
          <w:szCs w:val="21"/>
        </w:rPr>
        <w:instrText xml:space="preserve">lhliuc2@petrochina.com.cn</w:instrText>
      </w:r>
      <w:r>
        <w:rPr>
          <w:rFonts w:hAnsi="宋体"/>
          <w:szCs w:val="21"/>
        </w:rPr>
        <w:instrText xml:space="preserve">" </w:instrText>
      </w:r>
      <w:r>
        <w:rPr>
          <w:rFonts w:hAnsi="宋体"/>
          <w:szCs w:val="21"/>
        </w:rPr>
        <w:fldChar w:fldCharType="separate"/>
      </w:r>
      <w:r>
        <w:rPr>
          <w:rStyle w:val="52"/>
          <w:rFonts w:hint="eastAsia" w:hAnsi="宋体"/>
          <w:color w:val="auto"/>
          <w:szCs w:val="21"/>
        </w:rPr>
        <w:t>lhliuc2@petrochina.com.cn</w:t>
      </w:r>
      <w:r>
        <w:rPr>
          <w:rFonts w:hAnsi="宋体"/>
          <w:szCs w:val="21"/>
        </w:rPr>
        <w:fldChar w:fldCharType="end"/>
      </w:r>
    </w:p>
    <w:p>
      <w:pPr>
        <w:spacing w:line="360" w:lineRule="auto"/>
        <w:ind w:firstLine="420" w:firstLineChars="200"/>
        <w:rPr>
          <w:rFonts w:hint="eastAsia" w:hAnsi="宋体"/>
          <w:szCs w:val="21"/>
        </w:rPr>
      </w:pPr>
      <w:r>
        <w:rPr>
          <w:rFonts w:hAnsi="宋体"/>
          <w:szCs w:val="21"/>
        </w:rPr>
        <w:t>电子招投标交易平台运营运维单位：中油物采信息技术有限公司</w:t>
      </w:r>
    </w:p>
    <w:p>
      <w:pPr>
        <w:spacing w:line="360" w:lineRule="auto"/>
        <w:ind w:firstLine="420" w:firstLineChars="200"/>
        <w:rPr>
          <w:rFonts w:hint="eastAsia" w:hAnsi="宋体"/>
          <w:szCs w:val="21"/>
        </w:rPr>
      </w:pPr>
      <w:r>
        <w:rPr>
          <w:rFonts w:hAnsi="宋体"/>
          <w:szCs w:val="21"/>
        </w:rPr>
        <w:t>联系电话：4008800114</w:t>
      </w:r>
      <w:r>
        <w:rPr>
          <w:rFonts w:hint="eastAsia" w:hAnsi="宋体"/>
          <w:szCs w:val="21"/>
        </w:rPr>
        <w:tab/>
      </w:r>
      <w:r>
        <w:rPr>
          <w:rFonts w:hint="eastAsia" w:hAnsi="宋体"/>
          <w:szCs w:val="21"/>
        </w:rPr>
        <w:tab/>
      </w:r>
      <w:r>
        <w:rPr>
          <w:rFonts w:hAnsi="宋体"/>
          <w:szCs w:val="21"/>
        </w:rPr>
        <w:t>语音导航转电子招标平台</w:t>
      </w:r>
    </w:p>
    <w:p>
      <w:pPr>
        <w:spacing w:line="360" w:lineRule="auto"/>
        <w:ind w:firstLine="420" w:firstLineChars="200"/>
        <w:rPr>
          <w:rFonts w:hint="eastAsia" w:hAnsi="宋体"/>
          <w:szCs w:val="21"/>
        </w:rPr>
      </w:pPr>
      <w:r>
        <w:rPr>
          <w:rFonts w:hAnsi="宋体"/>
          <w:szCs w:val="21"/>
        </w:rPr>
        <w:t>昆仑银行U-Key办理业务咨询电话：4006696569</w:t>
      </w:r>
    </w:p>
    <w:p>
      <w:pPr>
        <w:spacing w:line="360" w:lineRule="auto"/>
        <w:ind w:firstLine="420" w:firstLineChars="200"/>
        <w:rPr>
          <w:rFonts w:hint="eastAsia" w:hAnsi="宋体"/>
          <w:szCs w:val="21"/>
        </w:rPr>
      </w:pPr>
      <w:r>
        <w:rPr>
          <w:rFonts w:hint="eastAsia" w:hAnsi="宋体"/>
          <w:szCs w:val="21"/>
        </w:rPr>
        <w:t>投标人须知及相关支持插件下载地址：中国石油电子招投标交易平台右上角-工具中心</w:t>
      </w:r>
    </w:p>
    <w:p>
      <w:pPr>
        <w:spacing w:line="360" w:lineRule="auto"/>
        <w:ind w:firstLine="420" w:firstLineChars="200"/>
        <w:rPr>
          <w:rFonts w:hint="eastAsia" w:hAnsi="宋体"/>
          <w:szCs w:val="21"/>
        </w:rPr>
      </w:pPr>
      <w:r>
        <w:rPr>
          <w:rFonts w:hint="eastAsia" w:hAnsi="宋体"/>
          <w:szCs w:val="21"/>
        </w:rPr>
        <w:t>注：防疫重点地区来盘办理业务人员需要携带由盘锦市当地医院开具的处于7日有效期内的核酸检测证明</w:t>
      </w:r>
      <w:r>
        <w:rPr>
          <w:rFonts w:hAnsi="宋体"/>
          <w:szCs w:val="21"/>
        </w:rPr>
        <w:t>。</w:t>
      </w:r>
    </w:p>
    <w:p>
      <w:pPr>
        <w:pStyle w:val="4"/>
        <w:ind w:firstLine="413" w:firstLineChars="196"/>
        <w:jc w:val="both"/>
        <w:rPr>
          <w:rFonts w:ascii="宋体" w:hAnsi="宋体"/>
          <w:kern w:val="2"/>
          <w:sz w:val="21"/>
          <w:szCs w:val="21"/>
        </w:rPr>
      </w:pPr>
      <w:bookmarkStart w:id="38" w:name="_Toc5554"/>
      <w:r>
        <w:rPr>
          <w:rFonts w:hint="eastAsia" w:ascii="宋体" w:hAnsi="宋体"/>
          <w:kern w:val="2"/>
          <w:sz w:val="21"/>
          <w:szCs w:val="21"/>
        </w:rPr>
        <w:t>十、附件</w:t>
      </w:r>
      <w:bookmarkEnd w:id="38"/>
    </w:p>
    <w:p>
      <w:pPr>
        <w:spacing w:line="360" w:lineRule="auto"/>
        <w:ind w:firstLine="422" w:firstLineChars="200"/>
        <w:rPr>
          <w:rFonts w:hint="eastAsia" w:hAnsi="宋体"/>
          <w:b/>
          <w:szCs w:val="21"/>
        </w:rPr>
      </w:pPr>
      <w:r>
        <w:rPr>
          <w:rFonts w:hint="eastAsia" w:hAnsi="宋体"/>
          <w:b/>
          <w:szCs w:val="21"/>
        </w:rPr>
        <w:t>10.1 招标公告附件</w:t>
      </w:r>
    </w:p>
    <w:p>
      <w:pPr>
        <w:spacing w:line="400" w:lineRule="exact"/>
        <w:ind w:firstLine="422" w:firstLineChars="200"/>
        <w:rPr>
          <w:rFonts w:hint="eastAsia" w:hAnsi="宋体"/>
          <w:szCs w:val="21"/>
        </w:rPr>
      </w:pPr>
      <w:r>
        <w:rPr>
          <w:rFonts w:hint="eastAsia" w:hAnsi="宋体"/>
          <w:b/>
          <w:szCs w:val="21"/>
        </w:rPr>
        <w:t>10.2 附件1：</w:t>
      </w:r>
      <w:r>
        <w:rPr>
          <w:rFonts w:hint="eastAsia" w:hAnsi="宋体"/>
          <w:szCs w:val="21"/>
        </w:rPr>
        <w:t>2022年二级物资集中采购32大类电线（JC2022-WⅡ-32-03包）招标明细表</w:t>
      </w:r>
    </w:p>
    <w:p>
      <w:pPr>
        <w:spacing w:line="400" w:lineRule="exact"/>
        <w:jc w:val="right"/>
        <w:rPr>
          <w:rFonts w:hAnsi="宋体"/>
          <w:szCs w:val="21"/>
        </w:rPr>
      </w:pPr>
    </w:p>
    <w:p>
      <w:pPr>
        <w:spacing w:line="400" w:lineRule="exact"/>
        <w:jc w:val="right"/>
        <w:rPr>
          <w:rFonts w:hint="eastAsia" w:hAnsi="宋体"/>
          <w:szCs w:val="21"/>
        </w:rPr>
      </w:pPr>
    </w:p>
    <w:p>
      <w:pPr>
        <w:spacing w:line="400" w:lineRule="exact"/>
        <w:jc w:val="right"/>
        <w:rPr>
          <w:rFonts w:hint="eastAsia" w:hAnsi="宋体"/>
          <w:szCs w:val="21"/>
        </w:rPr>
      </w:pPr>
      <w:r>
        <w:rPr>
          <w:rFonts w:hint="eastAsia" w:hAnsi="宋体"/>
          <w:szCs w:val="21"/>
        </w:rPr>
        <w:t>中国石油辽河油田招标中心</w:t>
      </w:r>
    </w:p>
    <w:bookmarkEnd w:id="6"/>
    <w:bookmarkEnd w:id="7"/>
    <w:bookmarkEnd w:id="24"/>
    <w:p>
      <w:pPr>
        <w:wordWrap w:val="0"/>
        <w:spacing w:before="159" w:beforeLines="50" w:after="159" w:afterLines="50" w:line="240" w:lineRule="auto"/>
        <w:ind w:right="210" w:rightChars="100"/>
        <w:jc w:val="right"/>
        <w:rPr>
          <w:rFonts w:hint="eastAsia" w:hAnsi="宋体"/>
          <w:szCs w:val="21"/>
        </w:rPr>
        <w:sectPr>
          <w:footerReference r:id="rId9" w:type="default"/>
          <w:pgSz w:w="11907" w:h="16840"/>
          <w:pgMar w:top="1304" w:right="1418" w:bottom="1304" w:left="1418" w:header="851" w:footer="992" w:gutter="0"/>
          <w:pgNumType w:start="1"/>
          <w:cols w:space="720" w:num="1"/>
          <w:docGrid w:type="lines" w:linePitch="318" w:charSpace="0"/>
        </w:sectPr>
      </w:pPr>
      <w:r>
        <w:rPr>
          <w:rFonts w:hint="eastAsia" w:hAnsi="宋体"/>
          <w:szCs w:val="21"/>
        </w:rPr>
        <w:t>二○二二年六月三十日</w:t>
      </w:r>
    </w:p>
    <w:p>
      <w:pPr>
        <w:pStyle w:val="68"/>
        <w:spacing w:before="318" w:beforeLines="0" w:after="318" w:afterLines="0"/>
      </w:pPr>
      <w:bookmarkStart w:id="39" w:name="_Toc1906"/>
      <w:r>
        <w:rPr>
          <w:rFonts w:hint="eastAsia"/>
        </w:rPr>
        <w:t>第二章</w:t>
      </w:r>
      <w:r>
        <w:t xml:space="preserve"> </w:t>
      </w:r>
      <w:r>
        <w:rPr>
          <w:rFonts w:hint="eastAsia"/>
        </w:rPr>
        <w:t>投标人须知前附表</w:t>
      </w:r>
      <w:bookmarkEnd w:id="8"/>
      <w:bookmarkEnd w:id="9"/>
      <w:bookmarkEnd w:id="10"/>
      <w:bookmarkEnd w:id="11"/>
      <w:bookmarkEnd w:id="12"/>
      <w:bookmarkEnd w:id="13"/>
      <w:bookmarkEnd w:id="39"/>
    </w:p>
    <w:p>
      <w:pPr>
        <w:pStyle w:val="61"/>
        <w:ind w:firstLine="0" w:firstLineChars="0"/>
      </w:pPr>
      <w:r>
        <w:rPr>
          <w:rFonts w:hint="eastAsia"/>
        </w:rPr>
        <w:t>本表关于拟采购的产品的具体资料是对投标人须知的具体补充和修改，如有矛盾，应以本表为准。</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1002"/>
        <w:gridCol w:w="92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blHeader/>
          <w:jc w:val="center"/>
        </w:trPr>
        <w:tc>
          <w:tcPr>
            <w:tcW w:w="1002" w:type="dxa"/>
            <w:tcBorders>
              <w:top w:val="single" w:color="auto" w:sz="8" w:space="0"/>
            </w:tcBorders>
            <w:noWrap w:val="0"/>
            <w:vAlign w:val="center"/>
          </w:tcPr>
          <w:p>
            <w:pPr>
              <w:spacing w:line="240" w:lineRule="auto"/>
              <w:jc w:val="center"/>
              <w:rPr>
                <w:rFonts w:hAnsi="宋体"/>
                <w:kern w:val="2"/>
                <w:szCs w:val="21"/>
              </w:rPr>
            </w:pPr>
            <w:r>
              <w:rPr>
                <w:rFonts w:hint="eastAsia" w:hAnsi="宋体"/>
                <w:kern w:val="2"/>
                <w:szCs w:val="21"/>
              </w:rPr>
              <w:t>条款号</w:t>
            </w:r>
          </w:p>
        </w:tc>
        <w:tc>
          <w:tcPr>
            <w:tcW w:w="9243" w:type="dxa"/>
            <w:tcBorders>
              <w:top w:val="single" w:color="auto" w:sz="8" w:space="0"/>
            </w:tcBorders>
            <w:noWrap w:val="0"/>
            <w:vAlign w:val="center"/>
          </w:tcPr>
          <w:p>
            <w:pPr>
              <w:spacing w:line="240" w:lineRule="auto"/>
              <w:jc w:val="center"/>
              <w:rPr>
                <w:rFonts w:hAnsi="宋体"/>
                <w:kern w:val="2"/>
                <w:szCs w:val="21"/>
              </w:rPr>
            </w:pPr>
            <w:r>
              <w:rPr>
                <w:rFonts w:hint="eastAsia" w:hAnsi="宋体"/>
                <w:kern w:val="2"/>
                <w:szCs w:val="21"/>
              </w:rPr>
              <w:t>内容</w:t>
            </w:r>
            <w:r>
              <w:rPr>
                <w:rFonts w:hAnsi="宋体"/>
                <w:kern w:val="2"/>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40" w:name="_Toc15467"/>
            <w:bookmarkStart w:id="41" w:name="_Toc363454526"/>
            <w:bookmarkStart w:id="42" w:name="_Toc363127787"/>
            <w:bookmarkStart w:id="43" w:name="_Toc363059637"/>
            <w:bookmarkStart w:id="44" w:name="_Toc363125333"/>
            <w:bookmarkStart w:id="45" w:name="_Toc363128927"/>
            <w:bookmarkStart w:id="46" w:name="_Toc363134225"/>
            <w:r>
              <w:rPr>
                <w:rFonts w:ascii="宋体" w:hAnsi="宋体"/>
                <w:kern w:val="2"/>
                <w:sz w:val="21"/>
                <w:szCs w:val="21"/>
              </w:rPr>
              <w:t xml:space="preserve">1. </w:t>
            </w:r>
            <w:r>
              <w:rPr>
                <w:rFonts w:hint="eastAsia" w:ascii="宋体" w:hAnsi="宋体"/>
                <w:kern w:val="2"/>
                <w:sz w:val="21"/>
                <w:szCs w:val="21"/>
              </w:rPr>
              <w:t>说明</w:t>
            </w:r>
            <w:bookmarkEnd w:id="40"/>
            <w:bookmarkEnd w:id="41"/>
            <w:bookmarkEnd w:id="42"/>
            <w:bookmarkEnd w:id="43"/>
            <w:bookmarkEnd w:id="44"/>
            <w:bookmarkEnd w:id="45"/>
            <w:bookmarkEnd w:id="46"/>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Ansi="宋体"/>
                <w:kern w:val="2"/>
                <w:szCs w:val="21"/>
              </w:rPr>
              <w:t>1.1</w:t>
            </w:r>
          </w:p>
        </w:tc>
        <w:tc>
          <w:tcPr>
            <w:tcW w:w="9243" w:type="dxa"/>
            <w:noWrap w:val="0"/>
            <w:vAlign w:val="center"/>
          </w:tcPr>
          <w:p>
            <w:pPr>
              <w:autoSpaceDE/>
              <w:autoSpaceDN/>
              <w:adjustRightInd/>
              <w:spacing w:line="240" w:lineRule="auto"/>
              <w:jc w:val="both"/>
              <w:rPr>
                <w:rFonts w:hAnsi="宋体" w:cs="宋体"/>
                <w:bCs/>
                <w:szCs w:val="21"/>
                <w:lang w:val="zh-CN"/>
              </w:rPr>
            </w:pPr>
            <w:r>
              <w:rPr>
                <w:rFonts w:hint="eastAsia" w:hAnsi="宋体"/>
                <w:kern w:val="2"/>
                <w:szCs w:val="21"/>
              </w:rPr>
              <w:t>招标人名称：</w:t>
            </w:r>
            <w:r>
              <w:rPr>
                <w:rFonts w:hint="eastAsia" w:hAnsi="宋体" w:cs="宋体"/>
                <w:bCs/>
                <w:szCs w:val="21"/>
                <w:lang w:val="zh-CN"/>
              </w:rPr>
              <w:t>辽河石油勘探局有限公司物资分公司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45"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1.1</w:t>
            </w:r>
          </w:p>
        </w:tc>
        <w:tc>
          <w:tcPr>
            <w:tcW w:w="9243" w:type="dxa"/>
            <w:noWrap w:val="0"/>
            <w:vAlign w:val="center"/>
          </w:tcPr>
          <w:p>
            <w:pPr>
              <w:spacing w:line="240" w:lineRule="auto"/>
              <w:ind w:left="210" w:hanging="210" w:hangingChars="100"/>
              <w:rPr>
                <w:rFonts w:hint="eastAsia"/>
                <w:sz w:val="24"/>
                <w:szCs w:val="24"/>
              </w:rPr>
            </w:pPr>
            <w:r>
              <w:rPr>
                <w:rFonts w:hAnsi="宋体"/>
                <w:kern w:val="2"/>
                <w:szCs w:val="21"/>
              </w:rPr>
              <w:t>1.</w:t>
            </w:r>
            <w:r>
              <w:rPr>
                <w:rFonts w:hint="eastAsia" w:hAnsi="宋体"/>
                <w:kern w:val="2"/>
                <w:szCs w:val="21"/>
              </w:rPr>
              <w:t>项</w:t>
            </w:r>
            <w:r>
              <w:rPr>
                <w:rFonts w:hint="eastAsia" w:hAnsi="宋体" w:cs="宋体"/>
                <w:bCs/>
                <w:szCs w:val="21"/>
                <w:lang w:val="zh-CN"/>
              </w:rPr>
              <w:t>目名称：2022年二级物资集中采购32大类电线（JC2022-WⅡ-32-03包） 。</w:t>
            </w:r>
          </w:p>
          <w:p>
            <w:pPr>
              <w:spacing w:line="240" w:lineRule="auto"/>
              <w:ind w:left="210" w:hanging="210" w:hangingChars="100"/>
              <w:rPr>
                <w:rFonts w:hint="eastAsia" w:hAnsi="宋体"/>
                <w:kern w:val="2"/>
                <w:szCs w:val="21"/>
              </w:rPr>
            </w:pPr>
            <w:r>
              <w:rPr>
                <w:rFonts w:hAnsi="宋体"/>
                <w:kern w:val="2"/>
                <w:szCs w:val="21"/>
              </w:rPr>
              <w:t>2.</w:t>
            </w:r>
            <w:r>
              <w:rPr>
                <w:rFonts w:hint="eastAsia" w:hAnsi="宋体"/>
                <w:kern w:val="2"/>
                <w:szCs w:val="21"/>
              </w:rPr>
              <w:t>招标产品：</w:t>
            </w:r>
            <w:r>
              <w:rPr>
                <w:rFonts w:hint="eastAsia" w:hAnsi="宋体" w:cs="宋体"/>
                <w:bCs/>
                <w:szCs w:val="21"/>
                <w:lang w:val="zh-CN"/>
              </w:rPr>
              <w:t>详见附件1。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t>1.2.1</w:t>
            </w:r>
          </w:p>
        </w:tc>
        <w:tc>
          <w:tcPr>
            <w:tcW w:w="9243" w:type="dxa"/>
            <w:noWrap w:val="0"/>
            <w:vAlign w:val="center"/>
          </w:tcPr>
          <w:p>
            <w:pPr>
              <w:spacing w:line="240" w:lineRule="auto"/>
              <w:rPr>
                <w:rFonts w:hAnsi="宋体"/>
                <w:kern w:val="2"/>
                <w:szCs w:val="21"/>
              </w:rPr>
            </w:pPr>
            <w:r>
              <w:rPr>
                <w:rFonts w:hint="eastAsia" w:hAnsi="宋体"/>
                <w:kern w:val="2"/>
                <w:szCs w:val="21"/>
              </w:rPr>
              <w:t>招标代理机构：中国石油辽河油田招标中心</w:t>
            </w:r>
          </w:p>
          <w:p>
            <w:pPr>
              <w:spacing w:line="240" w:lineRule="auto"/>
              <w:rPr>
                <w:rFonts w:hAnsi="宋体"/>
                <w:kern w:val="2"/>
                <w:szCs w:val="21"/>
              </w:rPr>
            </w:pPr>
            <w:r>
              <w:rPr>
                <w:rFonts w:hint="eastAsia" w:hAnsi="宋体"/>
                <w:kern w:val="2"/>
                <w:szCs w:val="21"/>
              </w:rPr>
              <w:t>地</w:t>
            </w:r>
            <w:r>
              <w:rPr>
                <w:rFonts w:hAnsi="宋体"/>
                <w:kern w:val="2"/>
                <w:szCs w:val="21"/>
              </w:rPr>
              <w:t xml:space="preserve">    </w:t>
            </w:r>
            <w:r>
              <w:rPr>
                <w:rFonts w:hint="eastAsia" w:hAnsi="宋体"/>
                <w:kern w:val="2"/>
                <w:szCs w:val="21"/>
              </w:rPr>
              <w:t>址：辽宁省盘锦市兴隆台区渤海街供应委</w:t>
            </w:r>
            <w:r>
              <w:rPr>
                <w:rFonts w:hAnsi="宋体"/>
                <w:kern w:val="2"/>
                <w:szCs w:val="21"/>
              </w:rPr>
              <w:t xml:space="preserve"> </w:t>
            </w:r>
            <w:r>
              <w:rPr>
                <w:rFonts w:hint="eastAsia" w:hAnsi="宋体"/>
                <w:kern w:val="2"/>
                <w:szCs w:val="21"/>
              </w:rPr>
              <w:t xml:space="preserve"> </w:t>
            </w:r>
            <w:r>
              <w:rPr>
                <w:rFonts w:hAnsi="宋体"/>
                <w:kern w:val="2"/>
                <w:szCs w:val="21"/>
              </w:rPr>
              <w:t xml:space="preserve">   </w:t>
            </w:r>
            <w:r>
              <w:rPr>
                <w:rFonts w:hint="eastAsia" w:hAnsi="宋体"/>
                <w:kern w:val="2"/>
                <w:szCs w:val="21"/>
              </w:rPr>
              <w:t>邮</w:t>
            </w:r>
            <w:r>
              <w:rPr>
                <w:rFonts w:hAnsi="宋体"/>
                <w:kern w:val="2"/>
                <w:szCs w:val="21"/>
              </w:rPr>
              <w:t xml:space="preserve">    </w:t>
            </w:r>
            <w:r>
              <w:rPr>
                <w:rFonts w:hint="eastAsia" w:hAnsi="宋体"/>
                <w:kern w:val="2"/>
                <w:szCs w:val="21"/>
              </w:rPr>
              <w:t>编：</w:t>
            </w:r>
            <w:r>
              <w:rPr>
                <w:rFonts w:hAnsi="宋体"/>
                <w:kern w:val="2"/>
                <w:szCs w:val="21"/>
              </w:rPr>
              <w:t>1240</w:t>
            </w:r>
            <w:r>
              <w:rPr>
                <w:rFonts w:hint="eastAsia" w:hAnsi="宋体"/>
                <w:kern w:val="2"/>
                <w:szCs w:val="21"/>
              </w:rPr>
              <w:t>12</w:t>
            </w:r>
          </w:p>
          <w:p>
            <w:pPr>
              <w:spacing w:line="240" w:lineRule="auto"/>
              <w:rPr>
                <w:rFonts w:hint="eastAsia" w:hAnsi="宋体"/>
                <w:kern w:val="2"/>
                <w:szCs w:val="21"/>
              </w:rPr>
            </w:pPr>
            <w:r>
              <w:rPr>
                <w:rFonts w:hint="eastAsia" w:hAnsi="宋体"/>
                <w:kern w:val="2"/>
                <w:szCs w:val="21"/>
              </w:rPr>
              <w:t>联 系 人：刘先生             电    话：</w:t>
            </w:r>
            <w:r>
              <w:rPr>
                <w:rFonts w:hAnsi="宋体"/>
                <w:kern w:val="2"/>
                <w:szCs w:val="21"/>
              </w:rPr>
              <w:t>0427-7305805/18942782927</w:t>
            </w:r>
          </w:p>
          <w:p>
            <w:pPr>
              <w:spacing w:line="240" w:lineRule="auto"/>
              <w:rPr>
                <w:rFonts w:hint="eastAsia" w:hAnsi="宋体"/>
                <w:kern w:val="2"/>
                <w:szCs w:val="21"/>
              </w:rPr>
            </w:pPr>
            <w:r>
              <w:rPr>
                <w:rFonts w:hint="eastAsia" w:hAnsi="宋体"/>
                <w:kern w:val="2"/>
                <w:szCs w:val="21"/>
              </w:rPr>
              <w:t>邮 箱：</w:t>
            </w:r>
            <w:r>
              <w:rPr>
                <w:rFonts w:hAnsi="宋体"/>
                <w:szCs w:val="21"/>
              </w:rPr>
              <w:fldChar w:fldCharType="begin"/>
            </w:r>
            <w:r>
              <w:rPr>
                <w:rFonts w:hAnsi="宋体"/>
                <w:szCs w:val="21"/>
              </w:rPr>
              <w:instrText xml:space="preserve"> HYPERLINK "mailto:</w:instrText>
            </w:r>
            <w:r>
              <w:rPr>
                <w:rFonts w:hint="eastAsia" w:hAnsi="宋体"/>
                <w:szCs w:val="21"/>
              </w:rPr>
              <w:instrText xml:space="preserve">lhliuc2@petrochina.com.cn</w:instrText>
            </w:r>
            <w:r>
              <w:rPr>
                <w:rFonts w:hAnsi="宋体"/>
                <w:szCs w:val="21"/>
              </w:rPr>
              <w:instrText xml:space="preserve">" </w:instrText>
            </w:r>
            <w:r>
              <w:rPr>
                <w:rFonts w:hAnsi="宋体"/>
                <w:szCs w:val="21"/>
              </w:rPr>
              <w:fldChar w:fldCharType="separate"/>
            </w:r>
            <w:r>
              <w:rPr>
                <w:rStyle w:val="52"/>
                <w:rFonts w:hint="eastAsia" w:hAnsi="宋体"/>
              </w:rPr>
              <w:t>lhliuc2@petrochina.com.cn</w:t>
            </w:r>
            <w:r>
              <w:rPr>
                <w:rFonts w:hAnsi="宋体"/>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47" w:name="_Toc363059638"/>
            <w:bookmarkStart w:id="48" w:name="_Toc363134226"/>
            <w:bookmarkStart w:id="49" w:name="_Toc363127788"/>
            <w:bookmarkStart w:id="50" w:name="_Toc363128928"/>
            <w:bookmarkStart w:id="51" w:name="_Toc29639"/>
            <w:bookmarkStart w:id="52" w:name="_Toc363454527"/>
            <w:bookmarkStart w:id="53" w:name="_Toc363125334"/>
            <w:r>
              <w:rPr>
                <w:rFonts w:ascii="宋体" w:hAnsi="宋体"/>
                <w:kern w:val="2"/>
                <w:sz w:val="21"/>
                <w:szCs w:val="21"/>
              </w:rPr>
              <w:t xml:space="preserve">2. </w:t>
            </w:r>
            <w:r>
              <w:rPr>
                <w:rFonts w:hint="eastAsia" w:ascii="宋体" w:hAnsi="宋体"/>
                <w:kern w:val="2"/>
                <w:sz w:val="21"/>
                <w:szCs w:val="21"/>
              </w:rPr>
              <w:t>招标文件</w:t>
            </w:r>
            <w:bookmarkEnd w:id="47"/>
            <w:bookmarkEnd w:id="48"/>
            <w:bookmarkEnd w:id="49"/>
            <w:bookmarkEnd w:id="50"/>
            <w:bookmarkEnd w:id="51"/>
            <w:bookmarkEnd w:id="52"/>
            <w:bookmarkEnd w:id="53"/>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2.1</w:t>
            </w:r>
          </w:p>
        </w:tc>
        <w:tc>
          <w:tcPr>
            <w:tcW w:w="9243" w:type="dxa"/>
            <w:noWrap w:val="0"/>
            <w:vAlign w:val="center"/>
          </w:tcPr>
          <w:p>
            <w:pPr>
              <w:spacing w:line="240" w:lineRule="auto"/>
              <w:ind w:left="218" w:hanging="218" w:hangingChars="104"/>
              <w:rPr>
                <w:rFonts w:hAnsi="宋体"/>
                <w:kern w:val="2"/>
                <w:szCs w:val="21"/>
              </w:rPr>
            </w:pPr>
            <w:r>
              <w:rPr>
                <w:rFonts w:hint="eastAsia" w:hAnsi="宋体"/>
                <w:kern w:val="2"/>
                <w:szCs w:val="21"/>
              </w:rPr>
              <w:t>招标文件以中国石油招标投标网（互联网网址www.cnpcbidding.com）发布的电子版为准。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2.1.2</w:t>
            </w:r>
          </w:p>
        </w:tc>
        <w:tc>
          <w:tcPr>
            <w:tcW w:w="9243" w:type="dxa"/>
            <w:noWrap w:val="0"/>
            <w:vAlign w:val="center"/>
          </w:tcPr>
          <w:p>
            <w:pPr>
              <w:spacing w:line="240" w:lineRule="auto"/>
              <w:ind w:left="218" w:hanging="218" w:hangingChars="104"/>
              <w:rPr>
                <w:rFonts w:hAnsi="宋体"/>
                <w:kern w:val="2"/>
                <w:szCs w:val="21"/>
              </w:rPr>
            </w:pPr>
            <w:r>
              <w:rPr>
                <w:rFonts w:hint="eastAsia" w:hAnsi="宋体"/>
                <w:kern w:val="2"/>
                <w:szCs w:val="21"/>
              </w:rPr>
              <w:t>招标文件用中文编写。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pPr>
            <w:r>
              <w:t>2.2.2</w:t>
            </w:r>
          </w:p>
        </w:tc>
        <w:tc>
          <w:tcPr>
            <w:tcW w:w="9243" w:type="dxa"/>
            <w:noWrap w:val="0"/>
            <w:vAlign w:val="center"/>
          </w:tcPr>
          <w:p>
            <w:pPr>
              <w:spacing w:line="240" w:lineRule="auto"/>
              <w:ind w:left="15" w:leftChars="-1" w:hanging="17" w:hangingChars="8"/>
              <w:rPr>
                <w:rFonts w:hAnsi="宋体"/>
                <w:b/>
                <w:kern w:val="2"/>
                <w:szCs w:val="21"/>
              </w:rPr>
            </w:pPr>
            <w:r>
              <w:rPr>
                <w:rFonts w:hint="eastAsia" w:hAnsi="宋体"/>
                <w:b/>
                <w:kern w:val="2"/>
                <w:szCs w:val="21"/>
              </w:rPr>
              <w:t>投标人认为招标文件存在歧视性条款或不合理要求，应在投标截止日期10日前一次性全部提出。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54" w:name="_Toc363059639"/>
            <w:bookmarkStart w:id="55" w:name="_Toc363134227"/>
            <w:bookmarkStart w:id="56" w:name="_Toc363127789"/>
            <w:bookmarkStart w:id="57" w:name="_Toc363128929"/>
            <w:bookmarkStart w:id="58" w:name="_Toc363454528"/>
            <w:bookmarkStart w:id="59" w:name="_Toc363125335"/>
            <w:bookmarkStart w:id="60" w:name="_Toc11279"/>
            <w:r>
              <w:rPr>
                <w:rFonts w:ascii="宋体" w:hAnsi="宋体"/>
                <w:kern w:val="2"/>
                <w:sz w:val="21"/>
                <w:szCs w:val="21"/>
              </w:rPr>
              <w:t xml:space="preserve">3. </w:t>
            </w:r>
            <w:r>
              <w:rPr>
                <w:rFonts w:hint="eastAsia" w:ascii="宋体" w:hAnsi="宋体"/>
                <w:kern w:val="2"/>
                <w:sz w:val="21"/>
                <w:szCs w:val="21"/>
              </w:rPr>
              <w:t>投标文件的编制</w:t>
            </w:r>
            <w:bookmarkEnd w:id="54"/>
            <w:bookmarkEnd w:id="55"/>
            <w:bookmarkEnd w:id="56"/>
            <w:bookmarkEnd w:id="57"/>
            <w:bookmarkEnd w:id="58"/>
            <w:bookmarkEnd w:id="59"/>
            <w:bookmarkEnd w:id="6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Ansi="宋体"/>
                <w:kern w:val="2"/>
                <w:szCs w:val="21"/>
              </w:rPr>
              <w:t>3.1</w:t>
            </w:r>
          </w:p>
        </w:tc>
        <w:tc>
          <w:tcPr>
            <w:tcW w:w="9243" w:type="dxa"/>
            <w:noWrap w:val="0"/>
            <w:vAlign w:val="center"/>
          </w:tcPr>
          <w:p>
            <w:pPr>
              <w:spacing w:line="440" w:lineRule="exact"/>
              <w:rPr>
                <w:szCs w:val="21"/>
              </w:rPr>
            </w:pPr>
            <w:r>
              <w:rPr>
                <w:rFonts w:hint="eastAsia" w:hAnsi="宋体"/>
                <w:kern w:val="2"/>
                <w:szCs w:val="21"/>
              </w:rPr>
              <w:t>投标文件须用中文编写。</w:t>
            </w:r>
            <w:r>
              <w:rPr>
                <w:rFonts w:hint="eastAsia" w:ascii="Arial" w:hAnsi="Arial"/>
                <w:szCs w:val="21"/>
              </w:rPr>
              <w:t>除在技术规格中另有规定外，度量衡单位应使用国际单位制。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09"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3.2</w:t>
            </w:r>
          </w:p>
        </w:tc>
        <w:tc>
          <w:tcPr>
            <w:tcW w:w="9243" w:type="dxa"/>
            <w:noWrap w:val="0"/>
            <w:vAlign w:val="center"/>
          </w:tcPr>
          <w:p>
            <w:pPr>
              <w:spacing w:line="240" w:lineRule="auto"/>
              <w:rPr>
                <w:rFonts w:hint="eastAsia" w:hAnsi="宋体"/>
                <w:b/>
                <w:kern w:val="2"/>
                <w:szCs w:val="21"/>
              </w:rPr>
            </w:pPr>
            <w:r>
              <w:rPr>
                <w:rFonts w:hint="eastAsia" w:hAnsi="宋体"/>
                <w:b/>
                <w:kern w:val="2"/>
                <w:szCs w:val="21"/>
              </w:rPr>
              <w:t>投标文件的格式：</w:t>
            </w:r>
          </w:p>
          <w:p>
            <w:pPr>
              <w:spacing w:line="240" w:lineRule="auto"/>
              <w:rPr>
                <w:rFonts w:hint="eastAsia" w:hAnsi="宋体"/>
                <w:b/>
                <w:kern w:val="2"/>
                <w:szCs w:val="21"/>
              </w:rPr>
            </w:pPr>
            <w:r>
              <w:rPr>
                <w:rFonts w:hint="eastAsia" w:hAnsi="宋体"/>
                <w:kern w:val="2"/>
                <w:szCs w:val="21"/>
              </w:rPr>
              <w:t>投标文件形式及份数：</w:t>
            </w:r>
            <w:r>
              <w:rPr>
                <w:rFonts w:hint="eastAsia" w:hAnsi="宋体"/>
                <w:b/>
                <w:kern w:val="2"/>
                <w:szCs w:val="21"/>
              </w:rPr>
              <w:t>电子版投标文件一份。另外投标人需将《附件3：报价表》以EXCEL格式上传到电子招标投标交易平台价格文件附件中，如不按要求上传其投标将被否决。</w:t>
            </w:r>
          </w:p>
          <w:p>
            <w:pPr>
              <w:spacing w:line="240" w:lineRule="auto"/>
              <w:rPr>
                <w:rFonts w:hint="eastAsia" w:hAnsi="宋体"/>
                <w:b/>
                <w:kern w:val="2"/>
                <w:szCs w:val="21"/>
              </w:rPr>
            </w:pPr>
            <w:r>
              <w:rPr>
                <w:rFonts w:hint="eastAsia" w:hAnsi="宋体"/>
                <w:b/>
                <w:kern w:val="2"/>
                <w:szCs w:val="21"/>
              </w:rPr>
              <w:t>※填写报价时请注意：系统中EBID格式报价表明细的顺序与附件3：报价表中明细的顺序有可能不一致。</w:t>
            </w:r>
          </w:p>
          <w:p>
            <w:pPr>
              <w:spacing w:line="240" w:lineRule="auto"/>
              <w:rPr>
                <w:rFonts w:hint="eastAsia" w:hAnsi="宋体"/>
                <w:kern w:val="2"/>
                <w:szCs w:val="21"/>
              </w:rPr>
            </w:pPr>
            <w:r>
              <w:rPr>
                <w:rFonts w:hint="eastAsia" w:hAnsi="宋体"/>
                <w:kern w:val="2"/>
                <w:szCs w:val="21"/>
              </w:rPr>
              <w:t>投标文件的加密：电子投标文件的加密通过CA证书，在离线工具中打包生成电子投标文件时完成。投标人未按规定加密的电子投标文件，招标人有权拒收；未按规定加密导致后续解密失败的责任由投标人自行负责。</w:t>
            </w:r>
          </w:p>
          <w:p>
            <w:pPr>
              <w:spacing w:line="240" w:lineRule="auto"/>
              <w:rPr>
                <w:rFonts w:hint="eastAsia" w:hAnsi="宋体"/>
                <w:kern w:val="2"/>
                <w:szCs w:val="21"/>
              </w:rPr>
            </w:pPr>
            <w:r>
              <w:rPr>
                <w:rFonts w:hint="eastAsia" w:hAnsi="宋体"/>
                <w:kern w:val="2"/>
                <w:szCs w:val="21"/>
              </w:rPr>
              <w:t>投标文件的电子签名：根据电子招标投标办法的相关规定，电子投标文件不再需要授权代表人进行手写签名，采用企业单位证书进行CA数字签名。CA数字签名由离线工具在打包生成电子投标文件时自动生成。</w:t>
            </w:r>
          </w:p>
          <w:p>
            <w:pPr>
              <w:spacing w:line="240" w:lineRule="auto"/>
              <w:rPr>
                <w:rFonts w:hint="eastAsia" w:hAnsi="宋体"/>
                <w:kern w:val="2"/>
                <w:szCs w:val="21"/>
              </w:rPr>
            </w:pPr>
            <w:r>
              <w:rPr>
                <w:rFonts w:hint="eastAsia" w:hAnsi="宋体"/>
                <w:kern w:val="2"/>
                <w:szCs w:val="21"/>
              </w:rPr>
              <w:t>需要第三方签字盖章确认的内容，如制造商资格声明、银行保函格式等仍保留原来样式。投标人应在投标文件正文中上传签字或盖章后的影印件文本。</w:t>
            </w:r>
          </w:p>
          <w:p>
            <w:pPr>
              <w:spacing w:line="240" w:lineRule="auto"/>
              <w:rPr>
                <w:rFonts w:hint="eastAsia" w:hAnsi="宋体"/>
                <w:kern w:val="2"/>
                <w:szCs w:val="21"/>
              </w:rPr>
            </w:pPr>
            <w:r>
              <w:rPr>
                <w:rFonts w:hint="eastAsia" w:hAnsi="宋体"/>
                <w:kern w:val="2"/>
                <w:szCs w:val="21"/>
              </w:rPr>
              <w:t xml:space="preserve">投标人需要依照招标文件第四章要求在投标文件中规定的位置签字、盖章。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1209"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3</w:t>
            </w:r>
          </w:p>
        </w:tc>
        <w:tc>
          <w:tcPr>
            <w:tcW w:w="9243" w:type="dxa"/>
            <w:noWrap w:val="0"/>
            <w:vAlign w:val="center"/>
          </w:tcPr>
          <w:p>
            <w:pPr>
              <w:spacing w:line="240" w:lineRule="auto"/>
              <w:rPr>
                <w:rFonts w:hint="eastAsia" w:hAnsi="宋体"/>
                <w:b/>
                <w:color w:val="FF0000"/>
                <w:kern w:val="2"/>
                <w:szCs w:val="21"/>
                <w:highlight w:val="yellow"/>
              </w:rPr>
            </w:pPr>
            <w:r>
              <w:rPr>
                <w:rFonts w:hint="eastAsia" w:hAnsi="宋体"/>
                <w:b/>
                <w:kern w:val="2"/>
                <w:szCs w:val="21"/>
              </w:rPr>
              <w:t>投标文件的组成：</w:t>
            </w:r>
          </w:p>
          <w:p>
            <w:pPr>
              <w:spacing w:line="240" w:lineRule="auto"/>
              <w:rPr>
                <w:rFonts w:hint="eastAsia" w:hAnsi="宋体"/>
                <w:kern w:val="2"/>
                <w:szCs w:val="21"/>
              </w:rPr>
            </w:pPr>
            <w:r>
              <w:rPr>
                <w:rFonts w:hint="eastAsia" w:hAnsi="宋体"/>
                <w:kern w:val="2"/>
                <w:szCs w:val="21"/>
              </w:rPr>
              <w:t>3.2.1资格证明文件</w:t>
            </w:r>
          </w:p>
          <w:p>
            <w:pPr>
              <w:spacing w:line="240" w:lineRule="auto"/>
              <w:rPr>
                <w:rFonts w:hint="eastAsia" w:hAnsi="宋体"/>
                <w:kern w:val="2"/>
                <w:szCs w:val="21"/>
              </w:rPr>
            </w:pPr>
            <w:r>
              <w:rPr>
                <w:rFonts w:hint="eastAsia" w:hAnsi="宋体"/>
                <w:kern w:val="2"/>
                <w:szCs w:val="21"/>
              </w:rPr>
              <w:t>3.2.2技术投标文件</w:t>
            </w:r>
          </w:p>
          <w:p>
            <w:pPr>
              <w:spacing w:line="240" w:lineRule="auto"/>
              <w:rPr>
                <w:rFonts w:hint="eastAsia" w:hAnsi="宋体"/>
                <w:b/>
                <w:kern w:val="2"/>
                <w:szCs w:val="21"/>
              </w:rPr>
            </w:pPr>
            <w:r>
              <w:rPr>
                <w:rFonts w:hint="eastAsia" w:hAnsi="宋体"/>
                <w:kern w:val="2"/>
                <w:szCs w:val="21"/>
              </w:rPr>
              <w:t>3.2.3商务投标文件</w:t>
            </w:r>
            <w:r>
              <w:rPr>
                <w:rFonts w:hint="eastAsia" w:hAnsi="宋体"/>
                <w:b/>
                <w:kern w:val="2"/>
                <w:szCs w:val="21"/>
              </w:rPr>
              <w:t xml:space="preserve"> </w:t>
            </w:r>
          </w:p>
          <w:p>
            <w:pPr>
              <w:spacing w:line="240" w:lineRule="auto"/>
              <w:rPr>
                <w:rFonts w:hint="eastAsia" w:hAnsi="宋体"/>
                <w:b/>
                <w:kern w:val="2"/>
                <w:szCs w:val="21"/>
              </w:rPr>
            </w:pPr>
            <w:r>
              <w:rPr>
                <w:rFonts w:hint="eastAsia" w:hAnsi="宋体"/>
                <w:b/>
                <w:kern w:val="2"/>
                <w:szCs w:val="21"/>
              </w:rPr>
              <w:t>※注意：资格证明文件须并入到商务文件后上传到电子招投标交易平台。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3.3.1</w:t>
            </w:r>
          </w:p>
        </w:tc>
        <w:tc>
          <w:tcPr>
            <w:tcW w:w="9243" w:type="dxa"/>
            <w:noWrap w:val="0"/>
            <w:vAlign w:val="center"/>
          </w:tcPr>
          <w:p>
            <w:pPr>
              <w:pStyle w:val="23"/>
              <w:spacing w:line="300" w:lineRule="auto"/>
              <w:rPr>
                <w:rFonts w:hint="eastAsia" w:hAnsi="宋体"/>
              </w:rPr>
            </w:pPr>
            <w:r>
              <w:rPr>
                <w:rFonts w:hint="eastAsia"/>
              </w:rPr>
              <w:t>投标人应提交证明其有资格参加投标和中标后有能力履行合同的文件，并作为其投标文件的一部分。</w:t>
            </w:r>
          </w:p>
          <w:p>
            <w:pPr>
              <w:pStyle w:val="23"/>
              <w:spacing w:line="300" w:lineRule="auto"/>
              <w:rPr>
                <w:rFonts w:hAnsi="宋体"/>
              </w:rPr>
            </w:pPr>
            <w:r>
              <w:rPr>
                <w:rFonts w:hAnsi="宋体"/>
              </w:rPr>
              <w:t>资格证明文件包括：</w:t>
            </w:r>
            <w:r>
              <w:rPr>
                <w:rFonts w:hint="eastAsia" w:hAnsi="宋体"/>
                <w:kern w:val="2"/>
              </w:rPr>
              <w:t>(但不限于)</w:t>
            </w:r>
          </w:p>
          <w:p>
            <w:pPr>
              <w:pStyle w:val="23"/>
              <w:numPr>
                <w:ilvl w:val="0"/>
                <w:numId w:val="3"/>
              </w:numPr>
              <w:tabs>
                <w:tab w:val="left" w:pos="322"/>
              </w:tabs>
              <w:ind w:left="324" w:hanging="284"/>
              <w:rPr>
                <w:rFonts w:hint="eastAsia" w:hAnsi="宋体"/>
              </w:rPr>
            </w:pPr>
            <w:r>
              <w:rPr>
                <w:rFonts w:hint="eastAsia" w:hAnsi="宋体"/>
              </w:rPr>
              <w:t>投标书</w:t>
            </w:r>
          </w:p>
          <w:p>
            <w:pPr>
              <w:pStyle w:val="23"/>
              <w:numPr>
                <w:ilvl w:val="0"/>
                <w:numId w:val="3"/>
              </w:numPr>
              <w:tabs>
                <w:tab w:val="left" w:pos="322"/>
              </w:tabs>
              <w:ind w:left="324" w:hanging="284"/>
              <w:rPr>
                <w:rFonts w:hint="eastAsia" w:hAnsi="宋体"/>
              </w:rPr>
            </w:pPr>
            <w:r>
              <w:rPr>
                <w:rFonts w:hint="eastAsia" w:hAnsi="宋体"/>
              </w:rPr>
              <w:t>法定代表人授权委托书</w:t>
            </w:r>
          </w:p>
          <w:p>
            <w:pPr>
              <w:pStyle w:val="23"/>
              <w:numPr>
                <w:ilvl w:val="0"/>
                <w:numId w:val="3"/>
              </w:numPr>
              <w:tabs>
                <w:tab w:val="left" w:pos="322"/>
              </w:tabs>
              <w:ind w:left="324" w:hanging="284"/>
              <w:rPr>
                <w:rFonts w:hint="eastAsia" w:hAnsi="宋体"/>
              </w:rPr>
            </w:pPr>
            <w:r>
              <w:rPr>
                <w:rFonts w:hAnsi="宋体"/>
              </w:rPr>
              <w:t>企业营业执照</w:t>
            </w:r>
          </w:p>
          <w:p>
            <w:pPr>
              <w:pStyle w:val="23"/>
              <w:numPr>
                <w:ilvl w:val="0"/>
                <w:numId w:val="3"/>
              </w:numPr>
              <w:tabs>
                <w:tab w:val="left" w:pos="322"/>
              </w:tabs>
              <w:ind w:left="324" w:hanging="284"/>
              <w:rPr>
                <w:rFonts w:hint="eastAsia" w:hAnsi="宋体"/>
              </w:rPr>
            </w:pPr>
            <w:r>
              <w:rPr>
                <w:rFonts w:hAnsi="宋体"/>
              </w:rPr>
              <w:t>资格声明</w:t>
            </w:r>
          </w:p>
          <w:p>
            <w:pPr>
              <w:pStyle w:val="23"/>
              <w:numPr>
                <w:ilvl w:val="0"/>
                <w:numId w:val="3"/>
              </w:numPr>
              <w:tabs>
                <w:tab w:val="left" w:pos="322"/>
              </w:tabs>
              <w:ind w:left="324" w:hanging="284"/>
              <w:rPr>
                <w:rFonts w:hint="eastAsia" w:hAnsi="宋体"/>
              </w:rPr>
            </w:pPr>
            <w:r>
              <w:rPr>
                <w:rFonts w:hint="eastAsia" w:hAnsi="宋体"/>
              </w:rPr>
              <w:t>招标公告“</w:t>
            </w:r>
            <w:r>
              <w:rPr>
                <w:rFonts w:hint="eastAsia"/>
                <w:b/>
              </w:rPr>
              <w:t>投标人的资格要求”</w:t>
            </w:r>
            <w:r>
              <w:rPr>
                <w:rFonts w:hint="eastAsia"/>
              </w:rPr>
              <w:t>中应响应的资料</w:t>
            </w:r>
          </w:p>
          <w:p>
            <w:pPr>
              <w:pStyle w:val="23"/>
              <w:numPr>
                <w:ilvl w:val="0"/>
                <w:numId w:val="3"/>
              </w:numPr>
              <w:tabs>
                <w:tab w:val="left" w:pos="322"/>
              </w:tabs>
              <w:ind w:left="324" w:hanging="284"/>
              <w:rPr>
                <w:rFonts w:hint="eastAsia" w:hAnsi="宋体"/>
              </w:rPr>
            </w:pPr>
            <w:r>
              <w:rPr>
                <w:rFonts w:hint="eastAsia" w:hAnsi="宋体"/>
              </w:rPr>
              <w:t>投标人认为有必要提供的其他资料</w:t>
            </w:r>
          </w:p>
          <w:p>
            <w:pPr>
              <w:pStyle w:val="23"/>
              <w:tabs>
                <w:tab w:val="left" w:pos="322"/>
              </w:tabs>
              <w:ind w:left="40"/>
              <w:rPr>
                <w:rFonts w:hint="eastAsia" w:hAnsi="宋体"/>
              </w:rPr>
            </w:pPr>
            <w:r>
              <w:rPr>
                <w:rFonts w:hint="eastAsia" w:hAnsi="宋体"/>
                <w:b/>
                <w:bCs/>
                <w:kern w:val="2"/>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3.3.2</w:t>
            </w:r>
          </w:p>
        </w:tc>
        <w:tc>
          <w:tcPr>
            <w:tcW w:w="9243" w:type="dxa"/>
            <w:noWrap w:val="0"/>
            <w:vAlign w:val="center"/>
          </w:tcPr>
          <w:p>
            <w:pPr>
              <w:rPr>
                <w:rFonts w:hint="eastAsia" w:hAnsi="宋体"/>
              </w:rPr>
            </w:pPr>
            <w:r>
              <w:rPr>
                <w:rFonts w:hint="eastAsia"/>
              </w:rPr>
              <w:t>投标人应提交证明文件，证明其投标的产品和服务的合格性符合招标文件规定。该证明文件作为投标文件的一部分。</w:t>
            </w:r>
          </w:p>
          <w:p>
            <w:pPr>
              <w:rPr>
                <w:rFonts w:hint="eastAsia" w:hAnsi="宋体"/>
              </w:rPr>
            </w:pPr>
            <w:r>
              <w:rPr>
                <w:rFonts w:hint="eastAsia" w:hAnsi="宋体"/>
              </w:rPr>
              <w:t>技术投标文件包括：（但不限于）</w:t>
            </w:r>
          </w:p>
          <w:p>
            <w:pPr>
              <w:widowControl/>
              <w:numPr>
                <w:ilvl w:val="0"/>
                <w:numId w:val="4"/>
              </w:numPr>
              <w:autoSpaceDE/>
              <w:autoSpaceDN/>
              <w:adjustRightInd/>
              <w:spacing w:line="240" w:lineRule="auto"/>
              <w:rPr>
                <w:rFonts w:hint="eastAsia" w:hAnsi="宋体"/>
                <w:kern w:val="2"/>
                <w:szCs w:val="21"/>
              </w:rPr>
            </w:pPr>
            <w:r>
              <w:rPr>
                <w:rFonts w:hint="eastAsia" w:hAnsi="宋体"/>
              </w:rPr>
              <w:t>投</w:t>
            </w:r>
            <w:r>
              <w:rPr>
                <w:rFonts w:hint="eastAsia" w:hAnsi="宋体"/>
                <w:kern w:val="2"/>
                <w:szCs w:val="21"/>
              </w:rPr>
              <w:t>标产品的执行标准或技术响应文件</w:t>
            </w:r>
          </w:p>
          <w:p>
            <w:pPr>
              <w:numPr>
                <w:ilvl w:val="0"/>
                <w:numId w:val="4"/>
              </w:numPr>
              <w:spacing w:line="240" w:lineRule="auto"/>
              <w:rPr>
                <w:rFonts w:hint="eastAsia" w:hAnsi="宋体"/>
                <w:kern w:val="2"/>
                <w:szCs w:val="21"/>
              </w:rPr>
            </w:pPr>
            <w:r>
              <w:rPr>
                <w:rFonts w:hint="eastAsia" w:hAnsi="宋体"/>
              </w:rPr>
              <w:t>技术条款响应/偏离表</w:t>
            </w:r>
          </w:p>
          <w:p>
            <w:pPr>
              <w:numPr>
                <w:ilvl w:val="0"/>
                <w:numId w:val="4"/>
              </w:numPr>
              <w:spacing w:line="240" w:lineRule="auto"/>
              <w:rPr>
                <w:rFonts w:hint="eastAsia" w:hAnsi="宋体"/>
                <w:color w:val="FF0000"/>
                <w:kern w:val="2"/>
                <w:szCs w:val="21"/>
              </w:rPr>
            </w:pPr>
            <w:r>
              <w:rPr>
                <w:rFonts w:hint="eastAsia" w:hAnsi="宋体"/>
                <w:color w:val="FF0000"/>
              </w:rPr>
              <w:t>附件1-5《评分细则》中要求投标人响应的技术资料（按顺序响应）</w:t>
            </w:r>
          </w:p>
          <w:p>
            <w:pPr>
              <w:numPr>
                <w:ilvl w:val="0"/>
                <w:numId w:val="4"/>
              </w:numPr>
              <w:spacing w:line="240" w:lineRule="auto"/>
              <w:rPr>
                <w:rFonts w:hint="eastAsia" w:hAnsi="宋体"/>
                <w:kern w:val="2"/>
                <w:szCs w:val="21"/>
              </w:rPr>
            </w:pPr>
            <w:r>
              <w:rPr>
                <w:rFonts w:hint="eastAsia" w:hAnsi="宋体"/>
                <w:szCs w:val="21"/>
              </w:rPr>
              <w:t>投标人认为有必要提供的其他资料</w:t>
            </w:r>
          </w:p>
          <w:p>
            <w:pPr>
              <w:spacing w:line="240" w:lineRule="auto"/>
              <w:rPr>
                <w:rFonts w:hint="eastAsia" w:hAnsi="宋体"/>
                <w:kern w:val="2"/>
                <w:szCs w:val="21"/>
              </w:rPr>
            </w:pPr>
            <w:r>
              <w:rPr>
                <w:rFonts w:hint="eastAsia" w:hAnsi="宋体"/>
                <w:b/>
                <w:bCs/>
                <w:kern w:val="2"/>
                <w:szCs w:val="21"/>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3.3.3</w:t>
            </w:r>
          </w:p>
        </w:tc>
        <w:tc>
          <w:tcPr>
            <w:tcW w:w="9243" w:type="dxa"/>
            <w:noWrap w:val="0"/>
            <w:vAlign w:val="center"/>
          </w:tcPr>
          <w:p>
            <w:pPr>
              <w:rPr>
                <w:rFonts w:hint="eastAsia" w:hAnsi="宋体"/>
              </w:rPr>
            </w:pPr>
            <w:r>
              <w:rPr>
                <w:rFonts w:hint="eastAsia" w:hAnsi="宋体"/>
              </w:rPr>
              <w:t>商务投标文件包括：（但不限于）</w:t>
            </w:r>
          </w:p>
          <w:p>
            <w:pPr>
              <w:numPr>
                <w:ilvl w:val="0"/>
                <w:numId w:val="5"/>
              </w:numPr>
              <w:spacing w:line="240" w:lineRule="auto"/>
              <w:rPr>
                <w:rFonts w:hint="eastAsia" w:hAnsi="宋体"/>
                <w:kern w:val="2"/>
                <w:szCs w:val="21"/>
              </w:rPr>
            </w:pPr>
            <w:r>
              <w:rPr>
                <w:rFonts w:hint="eastAsia" w:hAnsi="宋体"/>
                <w:kern w:val="2"/>
                <w:szCs w:val="21"/>
              </w:rPr>
              <w:t>开标一览表</w:t>
            </w:r>
          </w:p>
          <w:p>
            <w:pPr>
              <w:numPr>
                <w:ilvl w:val="0"/>
                <w:numId w:val="5"/>
              </w:numPr>
              <w:spacing w:line="240" w:lineRule="auto"/>
              <w:rPr>
                <w:rFonts w:hint="eastAsia" w:hAnsi="宋体"/>
                <w:kern w:val="2"/>
                <w:szCs w:val="21"/>
              </w:rPr>
            </w:pPr>
            <w:r>
              <w:rPr>
                <w:rFonts w:hint="eastAsia" w:hAnsi="宋体"/>
                <w:kern w:val="2"/>
                <w:szCs w:val="21"/>
              </w:rPr>
              <w:t>投标报价表</w:t>
            </w:r>
          </w:p>
          <w:p>
            <w:pPr>
              <w:numPr>
                <w:ilvl w:val="0"/>
                <w:numId w:val="5"/>
              </w:numPr>
              <w:spacing w:line="240" w:lineRule="auto"/>
              <w:rPr>
                <w:rFonts w:hint="eastAsia" w:hAnsi="宋体"/>
                <w:kern w:val="2"/>
                <w:szCs w:val="21"/>
              </w:rPr>
            </w:pPr>
            <w:r>
              <w:rPr>
                <w:rFonts w:hint="eastAsia" w:hAnsi="宋体"/>
                <w:kern w:val="2"/>
                <w:szCs w:val="21"/>
              </w:rPr>
              <w:t>法律纠纷情况</w:t>
            </w:r>
          </w:p>
          <w:p>
            <w:pPr>
              <w:numPr>
                <w:ilvl w:val="0"/>
                <w:numId w:val="5"/>
              </w:numPr>
              <w:spacing w:line="240" w:lineRule="auto"/>
              <w:rPr>
                <w:rFonts w:hint="eastAsia" w:hAnsi="宋体"/>
                <w:kern w:val="2"/>
                <w:szCs w:val="21"/>
              </w:rPr>
            </w:pPr>
            <w:r>
              <w:rPr>
                <w:rFonts w:hint="eastAsia" w:hAnsi="宋体"/>
                <w:kern w:val="2"/>
                <w:szCs w:val="21"/>
              </w:rPr>
              <w:t>机密信息接受承诺函</w:t>
            </w:r>
          </w:p>
          <w:p>
            <w:pPr>
              <w:numPr>
                <w:ilvl w:val="0"/>
                <w:numId w:val="5"/>
              </w:numPr>
              <w:spacing w:line="240" w:lineRule="auto"/>
              <w:rPr>
                <w:rFonts w:hint="eastAsia" w:hAnsi="宋体"/>
                <w:kern w:val="2"/>
                <w:szCs w:val="21"/>
              </w:rPr>
            </w:pPr>
            <w:r>
              <w:rPr>
                <w:rFonts w:hint="eastAsia" w:hAnsi="宋体"/>
                <w:kern w:val="2"/>
                <w:szCs w:val="21"/>
              </w:rPr>
              <w:t>商务条款响应/偏离表</w:t>
            </w:r>
          </w:p>
          <w:p>
            <w:pPr>
              <w:numPr>
                <w:ilvl w:val="0"/>
                <w:numId w:val="5"/>
              </w:numPr>
              <w:spacing w:line="240" w:lineRule="auto"/>
              <w:rPr>
                <w:rFonts w:hint="eastAsia" w:hAnsi="宋体"/>
                <w:color w:val="FF0000"/>
                <w:kern w:val="2"/>
                <w:szCs w:val="21"/>
              </w:rPr>
            </w:pPr>
            <w:r>
              <w:rPr>
                <w:rFonts w:hint="eastAsia" w:hAnsi="宋体"/>
                <w:color w:val="FF0000"/>
              </w:rPr>
              <w:t>附件1-5《评分细则》中要求投标人响应的商务资料（按顺序响应）</w:t>
            </w:r>
          </w:p>
          <w:p>
            <w:pPr>
              <w:numPr>
                <w:ilvl w:val="0"/>
                <w:numId w:val="5"/>
              </w:numPr>
              <w:spacing w:line="240" w:lineRule="auto"/>
              <w:rPr>
                <w:rFonts w:hint="eastAsia" w:hAnsi="宋体"/>
                <w:kern w:val="2"/>
                <w:szCs w:val="21"/>
              </w:rPr>
            </w:pPr>
            <w:r>
              <w:rPr>
                <w:rFonts w:hint="eastAsia" w:hAnsi="宋体"/>
                <w:kern w:val="2"/>
                <w:szCs w:val="21"/>
              </w:rPr>
              <w:t>招标文件中规定的其它需要投标人响应的相关商务条款内容</w:t>
            </w:r>
          </w:p>
          <w:p>
            <w:pPr>
              <w:numPr>
                <w:ilvl w:val="0"/>
                <w:numId w:val="5"/>
              </w:numPr>
              <w:spacing w:line="240" w:lineRule="auto"/>
              <w:rPr>
                <w:rFonts w:hint="eastAsia" w:hAnsi="宋体"/>
                <w:kern w:val="2"/>
                <w:szCs w:val="21"/>
              </w:rPr>
            </w:pPr>
            <w:r>
              <w:rPr>
                <w:rFonts w:hint="eastAsia" w:hAnsi="宋体"/>
                <w:szCs w:val="21"/>
              </w:rPr>
              <w:t>投标人认为有必要提供的其他资料</w:t>
            </w:r>
          </w:p>
          <w:p>
            <w:pPr>
              <w:spacing w:line="240" w:lineRule="auto"/>
              <w:rPr>
                <w:rFonts w:hint="eastAsia" w:hAnsi="宋体"/>
                <w:b/>
                <w:bCs/>
                <w:kern w:val="2"/>
                <w:szCs w:val="21"/>
              </w:rPr>
            </w:pPr>
            <w:r>
              <w:rPr>
                <w:rFonts w:hint="eastAsia" w:hAnsi="宋体"/>
                <w:b/>
                <w:bCs/>
                <w:kern w:val="2"/>
                <w:szCs w:val="21"/>
              </w:rPr>
              <w:t>注：如果已经在其他部分提交请列出索引目录以便评委评标，不必重复提交。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646"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4</w:t>
            </w:r>
          </w:p>
        </w:tc>
        <w:tc>
          <w:tcPr>
            <w:tcW w:w="9243" w:type="dxa"/>
            <w:noWrap w:val="0"/>
            <w:vAlign w:val="center"/>
          </w:tcPr>
          <w:p>
            <w:pPr>
              <w:spacing w:line="240" w:lineRule="auto"/>
              <w:rPr>
                <w:rFonts w:hint="eastAsia" w:hAnsi="宋体"/>
                <w:kern w:val="2"/>
                <w:szCs w:val="21"/>
              </w:rPr>
            </w:pPr>
            <w:r>
              <w:rPr>
                <w:rFonts w:hint="eastAsia" w:hAnsi="宋体"/>
                <w:kern w:val="2"/>
                <w:szCs w:val="21"/>
              </w:rPr>
              <w:t>递交投标文件电子版：</w:t>
            </w:r>
          </w:p>
          <w:p>
            <w:pPr>
              <w:spacing w:line="240" w:lineRule="auto"/>
              <w:rPr>
                <w:rFonts w:hint="eastAsia" w:hAnsi="宋体"/>
                <w:kern w:val="2"/>
                <w:szCs w:val="21"/>
              </w:rPr>
            </w:pPr>
            <w:r>
              <w:rPr>
                <w:rFonts w:hint="eastAsia" w:hAnsi="宋体"/>
                <w:kern w:val="2"/>
                <w:szCs w:val="21"/>
              </w:rPr>
              <w:t>投标文件电子版形式：中国石油电子招标投标</w:t>
            </w:r>
          </w:p>
          <w:p>
            <w:pPr>
              <w:spacing w:line="240" w:lineRule="auto"/>
              <w:rPr>
                <w:rFonts w:hAnsi="宋体"/>
                <w:kern w:val="2"/>
                <w:szCs w:val="21"/>
              </w:rPr>
            </w:pPr>
            <w:r>
              <w:rPr>
                <w:rFonts w:hint="eastAsia" w:hAnsi="宋体"/>
                <w:kern w:val="2"/>
                <w:szCs w:val="21"/>
              </w:rPr>
              <w:t>投标文件电子版</w:t>
            </w:r>
            <w:r>
              <w:rPr>
                <w:szCs w:val="21"/>
              </w:rPr>
              <w:t>在</w:t>
            </w:r>
            <w:r>
              <w:rPr>
                <w:rFonts w:hint="eastAsia"/>
                <w:szCs w:val="21"/>
              </w:rPr>
              <w:t>投标</w:t>
            </w:r>
            <w:r>
              <w:rPr>
                <w:szCs w:val="21"/>
              </w:rPr>
              <w:t>递交截止时间前</w:t>
            </w:r>
            <w:r>
              <w:rPr>
                <w:rFonts w:hint="eastAsia"/>
                <w:szCs w:val="21"/>
              </w:rPr>
              <w:t>递交。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87"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5</w:t>
            </w:r>
          </w:p>
        </w:tc>
        <w:tc>
          <w:tcPr>
            <w:tcW w:w="9243" w:type="dxa"/>
            <w:noWrap w:val="0"/>
            <w:vAlign w:val="center"/>
          </w:tcPr>
          <w:p>
            <w:pPr>
              <w:spacing w:line="240" w:lineRule="auto"/>
              <w:rPr>
                <w:rFonts w:hAnsi="宋体"/>
                <w:kern w:val="2"/>
                <w:szCs w:val="21"/>
              </w:rPr>
            </w:pPr>
            <w:r>
              <w:rPr>
                <w:rFonts w:hint="eastAsia" w:ascii="Arial" w:hAnsi="Arial"/>
                <w:szCs w:val="21"/>
              </w:rPr>
              <w:t>投标人应按照招标文件中规定的格式制作投标文件，擅自更改格式是投标人的风险。</w:t>
            </w:r>
            <w:r>
              <w:rPr>
                <w:rFonts w:hint="eastAsia" w:hAnsi="宋体"/>
                <w:kern w:val="2"/>
                <w:szCs w:val="21"/>
              </w:rPr>
              <w:t>投标文件提供的文字、图片和证书复印件、扫描件须清晰可见，否则后果自负。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97"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6</w:t>
            </w:r>
          </w:p>
        </w:tc>
        <w:tc>
          <w:tcPr>
            <w:tcW w:w="9243" w:type="dxa"/>
            <w:noWrap w:val="0"/>
            <w:vAlign w:val="center"/>
          </w:tcPr>
          <w:p>
            <w:pPr>
              <w:spacing w:line="240" w:lineRule="auto"/>
              <w:rPr>
                <w:rFonts w:hint="eastAsia" w:hAnsi="宋体"/>
                <w:kern w:val="2"/>
                <w:szCs w:val="21"/>
              </w:rPr>
            </w:pPr>
            <w:r>
              <w:rPr>
                <w:rFonts w:hint="eastAsia" w:hAnsi="宋体"/>
                <w:kern w:val="2"/>
                <w:szCs w:val="21"/>
              </w:rPr>
              <w:t>1.投标人应在招标文件所附的投标报价表内写明投标产品的执行标准或技术指标（技术指标较多的可加附件）及单价。</w:t>
            </w:r>
          </w:p>
          <w:p>
            <w:pPr>
              <w:spacing w:line="240" w:lineRule="auto"/>
              <w:rPr>
                <w:rFonts w:hint="eastAsia" w:hAnsi="宋体"/>
                <w:color w:val="FF0000"/>
                <w:kern w:val="2"/>
                <w:szCs w:val="21"/>
                <w:highlight w:val="yellow"/>
              </w:rPr>
            </w:pPr>
            <w:r>
              <w:rPr>
                <w:rFonts w:hint="eastAsia" w:hAnsi="宋体"/>
                <w:kern w:val="2"/>
                <w:szCs w:val="21"/>
              </w:rPr>
              <w:t>2.投标报价价格构成：见招标公告2.8。</w:t>
            </w:r>
          </w:p>
          <w:p>
            <w:pPr>
              <w:spacing w:line="240" w:lineRule="auto"/>
              <w:rPr>
                <w:rFonts w:hAnsi="宋体"/>
                <w:kern w:val="2"/>
                <w:szCs w:val="21"/>
              </w:rPr>
            </w:pPr>
            <w:r>
              <w:rPr>
                <w:rFonts w:hint="eastAsia"/>
              </w:rPr>
              <w:t>3.本次招标不接受具有附加条件的报价。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93" w:hRule="atLeast"/>
          <w:jc w:val="center"/>
        </w:trPr>
        <w:tc>
          <w:tcPr>
            <w:tcW w:w="1002" w:type="dxa"/>
            <w:noWrap w:val="0"/>
            <w:vAlign w:val="center"/>
          </w:tcPr>
          <w:p>
            <w:pPr>
              <w:spacing w:line="240" w:lineRule="auto"/>
              <w:jc w:val="center"/>
              <w:rPr>
                <w:rFonts w:hAnsi="宋体"/>
                <w:kern w:val="2"/>
                <w:szCs w:val="21"/>
              </w:rPr>
            </w:pPr>
            <w:r>
              <w:rPr>
                <w:rFonts w:hAnsi="宋体"/>
                <w:kern w:val="2"/>
                <w:szCs w:val="21"/>
              </w:rPr>
              <w:t>3.</w:t>
            </w:r>
            <w:r>
              <w:rPr>
                <w:rFonts w:hint="eastAsia" w:hAnsi="宋体"/>
                <w:kern w:val="2"/>
                <w:szCs w:val="21"/>
              </w:rPr>
              <w:t>7</w:t>
            </w:r>
          </w:p>
        </w:tc>
        <w:tc>
          <w:tcPr>
            <w:tcW w:w="9243" w:type="dxa"/>
            <w:noWrap w:val="0"/>
            <w:vAlign w:val="center"/>
          </w:tcPr>
          <w:p>
            <w:pPr>
              <w:spacing w:line="240" w:lineRule="auto"/>
              <w:rPr>
                <w:rFonts w:hAnsi="宋体"/>
                <w:kern w:val="2"/>
                <w:szCs w:val="21"/>
              </w:rPr>
            </w:pPr>
            <w:r>
              <w:rPr>
                <w:rFonts w:hint="eastAsia" w:hAnsi="宋体"/>
                <w:kern w:val="2"/>
                <w:szCs w:val="21"/>
              </w:rPr>
              <w:t>投标货币：人民币。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96" w:hRule="atLeast"/>
          <w:jc w:val="center"/>
        </w:trPr>
        <w:tc>
          <w:tcPr>
            <w:tcW w:w="1002" w:type="dxa"/>
            <w:noWrap w:val="0"/>
            <w:vAlign w:val="center"/>
          </w:tcPr>
          <w:p>
            <w:pPr>
              <w:spacing w:line="240" w:lineRule="auto"/>
              <w:jc w:val="center"/>
              <w:rPr>
                <w:rFonts w:hint="eastAsia" w:hAnsi="宋体"/>
                <w:kern w:val="2"/>
                <w:szCs w:val="21"/>
              </w:rPr>
            </w:pPr>
            <w:r>
              <w:rPr>
                <w:rFonts w:hAnsi="宋体"/>
                <w:kern w:val="2"/>
                <w:szCs w:val="21"/>
              </w:rPr>
              <w:t>*3.</w:t>
            </w:r>
            <w:r>
              <w:rPr>
                <w:rFonts w:hint="eastAsia" w:hAnsi="宋体"/>
                <w:kern w:val="2"/>
                <w:szCs w:val="21"/>
              </w:rPr>
              <w:t>8</w:t>
            </w:r>
          </w:p>
        </w:tc>
        <w:tc>
          <w:tcPr>
            <w:tcW w:w="9243" w:type="dxa"/>
            <w:noWrap w:val="0"/>
            <w:vAlign w:val="center"/>
          </w:tcPr>
          <w:p>
            <w:pPr>
              <w:spacing w:line="240" w:lineRule="auto"/>
              <w:rPr>
                <w:rFonts w:hint="eastAsia" w:hAnsi="宋体"/>
                <w:kern w:val="2"/>
                <w:szCs w:val="21"/>
              </w:rPr>
            </w:pPr>
            <w:r>
              <w:rPr>
                <w:rFonts w:hint="eastAsia" w:hAnsi="宋体"/>
                <w:kern w:val="2"/>
                <w:szCs w:val="21"/>
              </w:rPr>
              <w:t>投标人必须充分了解招标产品的供货要求，采用必要的方法确保满足投标产品在本项目中的使用。</w:t>
            </w:r>
          </w:p>
          <w:p>
            <w:pPr>
              <w:spacing w:line="240" w:lineRule="auto"/>
              <w:rPr>
                <w:rFonts w:hAnsi="宋体"/>
                <w:spacing w:val="-4"/>
                <w:kern w:val="2"/>
                <w:szCs w:val="21"/>
              </w:rPr>
            </w:pPr>
            <w:r>
              <w:rPr>
                <w:rFonts w:hint="eastAsia" w:hAnsi="宋体"/>
                <w:b/>
                <w:kern w:val="2"/>
                <w:szCs w:val="21"/>
              </w:rPr>
              <w:t>对本条款的偏离为实质性偏离，将导致投标被拒绝。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96"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3.9</w:t>
            </w:r>
          </w:p>
        </w:tc>
        <w:tc>
          <w:tcPr>
            <w:tcW w:w="9243" w:type="dxa"/>
            <w:noWrap w:val="0"/>
            <w:vAlign w:val="center"/>
          </w:tcPr>
          <w:p>
            <w:pPr>
              <w:rPr>
                <w:rFonts w:hint="eastAsia"/>
                <w:szCs w:val="21"/>
              </w:rPr>
            </w:pPr>
            <w:r>
              <w:rPr>
                <w:rFonts w:hint="eastAsia" w:hAnsi="宋体"/>
                <w:kern w:val="2"/>
                <w:szCs w:val="21"/>
              </w:rPr>
              <w:t>投标保证金递交形式：</w:t>
            </w:r>
            <w:r>
              <w:rPr>
                <w:rFonts w:hint="eastAsia" w:hAnsi="宋体"/>
                <w:szCs w:val="21"/>
                <w:shd w:val="clear" w:color="auto" w:fill="F7FAFF"/>
              </w:rPr>
              <w:t>详见招标公告。</w:t>
            </w:r>
          </w:p>
          <w:p>
            <w:pPr>
              <w:spacing w:line="240" w:lineRule="auto"/>
              <w:rPr>
                <w:rFonts w:hint="eastAsia" w:hAnsi="宋体"/>
                <w:kern w:val="2"/>
                <w:szCs w:val="21"/>
              </w:rPr>
            </w:pPr>
            <w:r>
              <w:rPr>
                <w:rFonts w:hint="eastAsia" w:hAnsi="宋体"/>
                <w:kern w:val="2"/>
                <w:szCs w:val="21"/>
              </w:rPr>
              <w:t>投标保证金金额</w:t>
            </w:r>
            <w:r>
              <w:rPr>
                <w:rFonts w:hAnsi="宋体"/>
                <w:kern w:val="2"/>
                <w:szCs w:val="21"/>
              </w:rPr>
              <w:t xml:space="preserve">: </w:t>
            </w:r>
            <w:r>
              <w:rPr>
                <w:rFonts w:hint="eastAsia" w:hAnsi="宋体"/>
                <w:szCs w:val="21"/>
                <w:shd w:val="clear" w:color="auto" w:fill="F7FAFF"/>
              </w:rPr>
              <w:t>详见招标公告</w:t>
            </w:r>
            <w:r>
              <w:rPr>
                <w:rFonts w:hint="eastAsia" w:hAnsi="宋体"/>
                <w:kern w:val="2"/>
                <w:szCs w:val="21"/>
              </w:rPr>
              <w:t>。</w:t>
            </w:r>
          </w:p>
          <w:p>
            <w:pPr>
              <w:spacing w:line="240" w:lineRule="auto"/>
              <w:rPr>
                <w:rFonts w:hint="eastAsia" w:hAnsi="宋体"/>
                <w:kern w:val="2"/>
                <w:szCs w:val="21"/>
              </w:rPr>
            </w:pPr>
            <w:r>
              <w:rPr>
                <w:rFonts w:hint="eastAsia" w:hAnsi="宋体"/>
                <w:kern w:val="2"/>
                <w:szCs w:val="21"/>
              </w:rPr>
              <w:t>投标截止时间：见招标公告</w:t>
            </w:r>
          </w:p>
          <w:p>
            <w:pPr>
              <w:spacing w:line="240" w:lineRule="auto"/>
              <w:rPr>
                <w:rFonts w:hint="eastAsia" w:hAnsi="宋体"/>
                <w:kern w:val="2"/>
                <w:szCs w:val="21"/>
              </w:rPr>
            </w:pPr>
            <w:r>
              <w:rPr>
                <w:rFonts w:hint="eastAsia" w:ascii="Times New Roman"/>
                <w:kern w:val="2"/>
                <w:szCs w:val="21"/>
              </w:rPr>
              <w:t>投标有效期：开标之日起</w:t>
            </w:r>
            <w:r>
              <w:rPr>
                <w:rFonts w:ascii="Times New Roman"/>
                <w:b/>
                <w:kern w:val="2"/>
                <w:szCs w:val="21"/>
              </w:rPr>
              <w:t>90</w:t>
            </w:r>
            <w:r>
              <w:rPr>
                <w:rFonts w:hint="eastAsia" w:ascii="Times New Roman"/>
                <w:kern w:val="2"/>
                <w:szCs w:val="21"/>
              </w:rPr>
              <w:t>个日历日。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66" w:hRule="atLeast"/>
          <w:jc w:val="center"/>
        </w:trPr>
        <w:tc>
          <w:tcPr>
            <w:tcW w:w="1002" w:type="dxa"/>
            <w:noWrap w:val="0"/>
            <w:vAlign w:val="center"/>
          </w:tcPr>
          <w:p>
            <w:pPr>
              <w:jc w:val="center"/>
              <w:rPr>
                <w:rFonts w:hAnsi="宋体"/>
                <w:szCs w:val="21"/>
              </w:rPr>
            </w:pPr>
            <w:r>
              <w:rPr>
                <w:rFonts w:hint="eastAsia" w:hAnsi="宋体"/>
                <w:szCs w:val="21"/>
              </w:rPr>
              <w:t>3.10</w:t>
            </w:r>
          </w:p>
        </w:tc>
        <w:tc>
          <w:tcPr>
            <w:tcW w:w="9243" w:type="dxa"/>
            <w:noWrap w:val="0"/>
            <w:vAlign w:val="center"/>
          </w:tcPr>
          <w:p>
            <w:pPr>
              <w:rPr>
                <w:rFonts w:hAnsi="宋体"/>
                <w:szCs w:val="21"/>
              </w:rPr>
            </w:pPr>
            <w:r>
              <w:rPr>
                <w:rFonts w:hint="eastAsia" w:hAnsi="宋体"/>
                <w:szCs w:val="21"/>
              </w:rPr>
              <w:t>1、招标代理服务费由辽河石油勘探局有限公司物资分公司从中标人货款中扣除并转招标中心。</w:t>
            </w:r>
          </w:p>
          <w:p>
            <w:pPr>
              <w:rPr>
                <w:rFonts w:hAnsi="宋体"/>
                <w:szCs w:val="21"/>
              </w:rPr>
            </w:pPr>
            <w:r>
              <w:rPr>
                <w:rFonts w:hint="eastAsia" w:hAnsi="宋体"/>
                <w:szCs w:val="21"/>
              </w:rPr>
              <w:t>2、招标代理服务费金额辽河石油勘探局有限公司物资分公司提供的采购额度，按照油田公司下发的《辽河油田公司采购活动收取费用管理细则》（中油辽字[2019]218号）文件规定确定。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59" w:hRule="atLeast"/>
          <w:jc w:val="center"/>
        </w:trPr>
        <w:tc>
          <w:tcPr>
            <w:tcW w:w="10245" w:type="dxa"/>
            <w:gridSpan w:val="2"/>
            <w:noWrap w:val="0"/>
            <w:vAlign w:val="center"/>
          </w:tcPr>
          <w:p>
            <w:pPr>
              <w:pStyle w:val="4"/>
              <w:rPr>
                <w:rFonts w:ascii="宋体"/>
                <w:kern w:val="2"/>
                <w:sz w:val="21"/>
                <w:szCs w:val="21"/>
              </w:rPr>
            </w:pPr>
            <w:bookmarkStart w:id="61" w:name="_Toc363125337"/>
            <w:bookmarkStart w:id="62" w:name="_Toc363134229"/>
            <w:bookmarkStart w:id="63" w:name="_Toc363454530"/>
            <w:bookmarkStart w:id="64" w:name="_Toc1168"/>
            <w:bookmarkStart w:id="65" w:name="_Toc363059641"/>
            <w:bookmarkStart w:id="66" w:name="_Toc363127791"/>
            <w:bookmarkStart w:id="67" w:name="_Toc363128931"/>
            <w:r>
              <w:rPr>
                <w:rFonts w:hint="eastAsia" w:ascii="宋体" w:hAnsi="宋体"/>
                <w:kern w:val="2"/>
                <w:sz w:val="21"/>
                <w:szCs w:val="21"/>
              </w:rPr>
              <w:t>4</w:t>
            </w:r>
            <w:r>
              <w:rPr>
                <w:rFonts w:ascii="宋体" w:hAnsi="宋体"/>
                <w:kern w:val="2"/>
                <w:sz w:val="21"/>
                <w:szCs w:val="21"/>
              </w:rPr>
              <w:t xml:space="preserve">. </w:t>
            </w:r>
            <w:r>
              <w:rPr>
                <w:rFonts w:hint="eastAsia" w:ascii="宋体" w:hAnsi="宋体"/>
                <w:kern w:val="2"/>
                <w:sz w:val="21"/>
                <w:szCs w:val="21"/>
              </w:rPr>
              <w:t>开标与评标</w:t>
            </w:r>
            <w:bookmarkEnd w:id="61"/>
            <w:bookmarkEnd w:id="62"/>
            <w:bookmarkEnd w:id="63"/>
            <w:bookmarkEnd w:id="64"/>
            <w:bookmarkEnd w:id="65"/>
            <w:bookmarkEnd w:id="66"/>
            <w:bookmarkEnd w:id="6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85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.1</w:t>
            </w:r>
          </w:p>
        </w:tc>
        <w:tc>
          <w:tcPr>
            <w:tcW w:w="9243" w:type="dxa"/>
            <w:noWrap w:val="0"/>
            <w:vAlign w:val="center"/>
          </w:tcPr>
          <w:p>
            <w:pPr>
              <w:spacing w:line="240" w:lineRule="auto"/>
              <w:rPr>
                <w:rFonts w:hAnsi="宋体"/>
                <w:kern w:val="2"/>
                <w:szCs w:val="21"/>
              </w:rPr>
            </w:pPr>
            <w:r>
              <w:rPr>
                <w:rFonts w:hint="eastAsia" w:hAnsi="宋体"/>
                <w:kern w:val="2"/>
                <w:szCs w:val="21"/>
              </w:rPr>
              <w:t>开标时间：见招标公告</w:t>
            </w:r>
          </w:p>
          <w:p>
            <w:pPr>
              <w:spacing w:line="240" w:lineRule="auto"/>
              <w:rPr>
                <w:rFonts w:hint="eastAsia" w:hAnsi="宋体"/>
                <w:kern w:val="2"/>
                <w:szCs w:val="21"/>
              </w:rPr>
            </w:pPr>
            <w:r>
              <w:rPr>
                <w:rFonts w:hint="eastAsia" w:hAnsi="宋体"/>
                <w:kern w:val="2"/>
                <w:szCs w:val="21"/>
              </w:rPr>
              <w:t>开标地点：见招标公告</w:t>
            </w:r>
          </w:p>
          <w:p>
            <w:pPr>
              <w:spacing w:line="240" w:lineRule="auto"/>
              <w:rPr>
                <w:rFonts w:hint="eastAsia" w:hAnsi="宋体"/>
                <w:kern w:val="2"/>
                <w:szCs w:val="21"/>
              </w:rPr>
            </w:pPr>
            <w:r>
              <w:rPr>
                <w:rFonts w:hint="eastAsia" w:hAnsi="宋体"/>
                <w:kern w:val="2"/>
                <w:szCs w:val="21"/>
              </w:rPr>
              <w:t>1）</w:t>
            </w:r>
            <w:r>
              <w:rPr>
                <w:rFonts w:hint="eastAsia" w:hAnsi="宋体"/>
                <w:kern w:val="2"/>
                <w:szCs w:val="21"/>
              </w:rPr>
              <w:tab/>
            </w:r>
            <w:r>
              <w:rPr>
                <w:rFonts w:hint="eastAsia" w:hAnsi="宋体"/>
                <w:kern w:val="2"/>
                <w:szCs w:val="21"/>
              </w:rPr>
              <w:t>若招标人组织现场开标，投标人可至现场进行开标过程的参与和监督。</w:t>
            </w:r>
          </w:p>
          <w:p>
            <w:pPr>
              <w:spacing w:line="240" w:lineRule="auto"/>
              <w:rPr>
                <w:rFonts w:hint="eastAsia" w:hAnsi="宋体"/>
                <w:kern w:val="2"/>
                <w:szCs w:val="21"/>
              </w:rPr>
            </w:pPr>
            <w:r>
              <w:rPr>
                <w:rFonts w:hint="eastAsia" w:hAnsi="宋体"/>
                <w:kern w:val="2"/>
                <w:szCs w:val="21"/>
              </w:rPr>
              <w:t>2）</w:t>
            </w:r>
            <w:r>
              <w:rPr>
                <w:rFonts w:hint="eastAsia" w:hAnsi="宋体"/>
                <w:kern w:val="2"/>
                <w:szCs w:val="21"/>
              </w:rPr>
              <w:tab/>
            </w:r>
            <w:r>
              <w:rPr>
                <w:rFonts w:hint="eastAsia" w:hAnsi="宋体"/>
                <w:kern w:val="2"/>
                <w:szCs w:val="21"/>
              </w:rPr>
              <w:t>投标人可在开标时间前远程登录其所投项目的开标大厅，开标大厅将在项目开标时间前24小时开放给投标人登录。</w:t>
            </w:r>
          </w:p>
          <w:p>
            <w:pPr>
              <w:spacing w:line="240" w:lineRule="auto"/>
              <w:rPr>
                <w:rFonts w:hint="eastAsia" w:hAnsi="宋体"/>
                <w:kern w:val="2"/>
                <w:szCs w:val="21"/>
              </w:rPr>
            </w:pPr>
            <w:r>
              <w:rPr>
                <w:rFonts w:hint="eastAsia" w:hAnsi="宋体"/>
                <w:kern w:val="2"/>
                <w:szCs w:val="21"/>
              </w:rPr>
              <w:t>3）</w:t>
            </w:r>
            <w:r>
              <w:rPr>
                <w:rFonts w:hint="eastAsia" w:hAnsi="宋体"/>
                <w:kern w:val="2"/>
                <w:szCs w:val="21"/>
              </w:rPr>
              <w:tab/>
            </w:r>
            <w:r>
              <w:rPr>
                <w:rFonts w:hint="eastAsia" w:hAnsi="宋体"/>
                <w:kern w:val="2"/>
                <w:szCs w:val="21"/>
              </w:rPr>
              <w:t>开标大厅按项目设置，同一项目的多个标包在同一开标大厅进行开标。</w:t>
            </w:r>
          </w:p>
          <w:p>
            <w:pPr>
              <w:spacing w:line="240" w:lineRule="auto"/>
              <w:rPr>
                <w:rFonts w:hint="eastAsia" w:hAnsi="宋体"/>
                <w:kern w:val="2"/>
                <w:szCs w:val="21"/>
              </w:rPr>
            </w:pPr>
            <w:r>
              <w:rPr>
                <w:rFonts w:hint="eastAsia" w:hAnsi="宋体"/>
                <w:kern w:val="2"/>
                <w:szCs w:val="21"/>
              </w:rPr>
              <w:t>4）</w:t>
            </w:r>
            <w:r>
              <w:rPr>
                <w:rFonts w:hint="eastAsia" w:hAnsi="宋体"/>
                <w:kern w:val="2"/>
                <w:szCs w:val="21"/>
              </w:rPr>
              <w:tab/>
            </w:r>
            <w:r>
              <w:rPr>
                <w:rFonts w:hint="eastAsia" w:hAnsi="宋体"/>
                <w:kern w:val="2"/>
                <w:szCs w:val="21"/>
              </w:rPr>
              <w:t>投标人进入项目的开标大厅时需要进行数字签到，签到后可在开标大厅等待开标时间到达和开标主持人的操作。</w:t>
            </w:r>
          </w:p>
          <w:p>
            <w:pPr>
              <w:spacing w:line="240" w:lineRule="auto"/>
              <w:rPr>
                <w:rFonts w:hint="eastAsia" w:hAnsi="宋体"/>
                <w:kern w:val="2"/>
                <w:szCs w:val="21"/>
              </w:rPr>
            </w:pPr>
            <w:r>
              <w:rPr>
                <w:rFonts w:hint="eastAsia" w:hAnsi="宋体"/>
                <w:kern w:val="2"/>
                <w:szCs w:val="21"/>
              </w:rPr>
              <w:t>5）</w:t>
            </w:r>
            <w:r>
              <w:rPr>
                <w:rFonts w:hint="eastAsia" w:hAnsi="宋体"/>
                <w:kern w:val="2"/>
                <w:szCs w:val="21"/>
              </w:rPr>
              <w:tab/>
            </w:r>
            <w:r>
              <w:rPr>
                <w:rFonts w:hint="eastAsia" w:hAnsi="宋体"/>
                <w:kern w:val="2"/>
                <w:szCs w:val="21"/>
              </w:rPr>
              <w:t>开标时间到达后，开标主持人进行投标文件的解密操作。</w:t>
            </w:r>
          </w:p>
          <w:p>
            <w:pPr>
              <w:spacing w:line="240" w:lineRule="auto"/>
              <w:rPr>
                <w:rFonts w:hint="eastAsia" w:hAnsi="宋体"/>
                <w:kern w:val="2"/>
                <w:szCs w:val="21"/>
              </w:rPr>
            </w:pPr>
            <w:r>
              <w:rPr>
                <w:rFonts w:hint="eastAsia" w:hAnsi="宋体"/>
                <w:kern w:val="2"/>
                <w:szCs w:val="21"/>
              </w:rPr>
              <w:t>6）</w:t>
            </w:r>
            <w:r>
              <w:rPr>
                <w:rFonts w:hint="eastAsia" w:hAnsi="宋体"/>
                <w:kern w:val="2"/>
                <w:szCs w:val="21"/>
              </w:rPr>
              <w:tab/>
            </w:r>
            <w:r>
              <w:rPr>
                <w:rFonts w:hint="eastAsia" w:hAnsi="宋体"/>
                <w:kern w:val="2"/>
                <w:szCs w:val="21"/>
              </w:rPr>
              <w:t>若某一标包递交投标文件家数少于三家或者开标后成功解密的家数少于三家的，将终止该标包的开标。</w:t>
            </w:r>
          </w:p>
          <w:p>
            <w:pPr>
              <w:spacing w:line="240" w:lineRule="auto"/>
              <w:rPr>
                <w:rFonts w:hint="eastAsia" w:hAnsi="宋体"/>
                <w:kern w:val="2"/>
                <w:szCs w:val="21"/>
              </w:rPr>
            </w:pPr>
            <w:r>
              <w:rPr>
                <w:rFonts w:hint="eastAsia" w:hAnsi="宋体"/>
                <w:kern w:val="2"/>
                <w:szCs w:val="21"/>
              </w:rPr>
              <w:t>7）</w:t>
            </w:r>
            <w:r>
              <w:rPr>
                <w:rFonts w:hint="eastAsia" w:hAnsi="宋体"/>
                <w:kern w:val="2"/>
                <w:szCs w:val="21"/>
              </w:rPr>
              <w:tab/>
            </w:r>
            <w:r>
              <w:rPr>
                <w:rFonts w:hint="eastAsia" w:hAnsi="宋体"/>
                <w:kern w:val="2"/>
                <w:szCs w:val="21"/>
              </w:rPr>
              <w:t>投标人可在开标大厅观看到开标全过程，投标人对开标有异议可在线提出，解密完成后可下载开标一览表。</w:t>
            </w:r>
          </w:p>
          <w:p>
            <w:pPr>
              <w:spacing w:line="240" w:lineRule="auto"/>
              <w:rPr>
                <w:rFonts w:hAnsi="宋体"/>
                <w:color w:val="FF0000"/>
                <w:kern w:val="2"/>
                <w:szCs w:val="21"/>
                <w:highlight w:val="yellow"/>
              </w:rPr>
            </w:pPr>
            <w:r>
              <w:rPr>
                <w:rFonts w:hint="eastAsia" w:hAnsi="宋体"/>
                <w:kern w:val="2"/>
                <w:szCs w:val="21"/>
              </w:rPr>
              <w:t>8）</w:t>
            </w:r>
            <w:r>
              <w:rPr>
                <w:rFonts w:hint="eastAsia" w:hAnsi="宋体"/>
                <w:kern w:val="2"/>
                <w:szCs w:val="21"/>
              </w:rPr>
              <w:tab/>
            </w:r>
            <w:r>
              <w:rPr>
                <w:rFonts w:hint="eastAsia" w:hAnsi="宋体"/>
                <w:kern w:val="2"/>
                <w:szCs w:val="21"/>
              </w:rPr>
              <w:t>因投标人原因造成投标文件未解密成功的，视为撤销其投标文件；因投标人之外的原因造成投标文件未解密成功的，视为撤回其投标文件。部分投标文件未解密成功的，其他投标文件的开标可以继续进行。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8"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.2</w:t>
            </w:r>
          </w:p>
        </w:tc>
        <w:tc>
          <w:tcPr>
            <w:tcW w:w="9243" w:type="dxa"/>
            <w:noWrap w:val="0"/>
            <w:vAlign w:val="center"/>
          </w:tcPr>
          <w:p>
            <w:pPr>
              <w:spacing w:line="240" w:lineRule="auto"/>
              <w:rPr>
                <w:rFonts w:hAnsi="宋体"/>
                <w:kern w:val="2"/>
                <w:szCs w:val="21"/>
              </w:rPr>
            </w:pPr>
            <w:r>
              <w:rPr>
                <w:rFonts w:hint="eastAsia" w:hAnsi="宋体"/>
                <w:kern w:val="2"/>
                <w:szCs w:val="21"/>
              </w:rPr>
              <w:t>评标方法：</w:t>
            </w:r>
            <w:r>
              <w:rPr>
                <w:rFonts w:hint="eastAsia" w:hAnsi="宋体"/>
                <w:kern w:val="2"/>
                <w:szCs w:val="21"/>
                <w:u w:val="single"/>
              </w:rPr>
              <w:t>详见附件1-1。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74"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4.3</w:t>
            </w:r>
          </w:p>
        </w:tc>
        <w:tc>
          <w:tcPr>
            <w:tcW w:w="9243" w:type="dxa"/>
            <w:noWrap w:val="0"/>
            <w:vAlign w:val="center"/>
          </w:tcPr>
          <w:p>
            <w:pPr>
              <w:spacing w:line="240" w:lineRule="auto"/>
              <w:rPr>
                <w:rFonts w:hint="eastAsia" w:hAnsi="宋体"/>
                <w:b/>
              </w:rPr>
            </w:pPr>
            <w:r>
              <w:rPr>
                <w:rFonts w:hint="eastAsia" w:hAnsi="宋体"/>
                <w:b/>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pPr>
              <w:spacing w:line="240" w:lineRule="auto"/>
              <w:rPr>
                <w:rFonts w:hint="eastAsia" w:hAnsi="宋体"/>
                <w:b/>
                <w:kern w:val="2"/>
                <w:szCs w:val="21"/>
              </w:rPr>
            </w:pPr>
            <w:r>
              <w:rPr>
                <w:rFonts w:hint="eastAsia" w:hAnsi="宋体"/>
                <w:b/>
              </w:rPr>
              <w:t>详见投标人须知中的6.5否决投标标准条款，含附件1-2商务关键条款、</w:t>
            </w:r>
            <w:r>
              <w:rPr>
                <w:rFonts w:hint="eastAsia" w:hAnsi="宋体"/>
                <w:b/>
                <w:kern w:val="2"/>
                <w:szCs w:val="21"/>
              </w:rPr>
              <w:t>附件1-3技术关键条款等。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457"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4.4</w:t>
            </w:r>
          </w:p>
        </w:tc>
        <w:tc>
          <w:tcPr>
            <w:tcW w:w="9243" w:type="dxa"/>
            <w:noWrap w:val="0"/>
            <w:vAlign w:val="center"/>
          </w:tcPr>
          <w:p>
            <w:pPr>
              <w:spacing w:line="240" w:lineRule="auto"/>
              <w:rPr>
                <w:rFonts w:hint="eastAsia"/>
              </w:rPr>
            </w:pPr>
            <w:r>
              <w:rPr>
                <w:rFonts w:hint="eastAsia"/>
              </w:rPr>
              <w:t>评标委员会将按照招标文件规定的评标方法，对确定为实质上响应招标文件要求的投标进行评价和比较。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774" w:hRule="atLeast"/>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4</w:t>
            </w:r>
            <w:r>
              <w:rPr>
                <w:rFonts w:hAnsi="宋体"/>
                <w:kern w:val="2"/>
                <w:szCs w:val="21"/>
              </w:rPr>
              <w:t>.5</w:t>
            </w:r>
          </w:p>
        </w:tc>
        <w:tc>
          <w:tcPr>
            <w:tcW w:w="9243" w:type="dxa"/>
            <w:noWrap w:val="0"/>
            <w:vAlign w:val="center"/>
          </w:tcPr>
          <w:p>
            <w:pPr>
              <w:spacing w:line="240" w:lineRule="auto"/>
              <w:rPr>
                <w:rFonts w:cs="宋体"/>
                <w:szCs w:val="21"/>
              </w:rPr>
            </w:pPr>
            <w:r>
              <w:rPr>
                <w:rFonts w:hint="eastAsia" w:hAnsi="宋体"/>
                <w:kern w:val="2"/>
                <w:szCs w:val="21"/>
              </w:rPr>
              <w:t>其它额外评标因素和标准：</w:t>
            </w:r>
            <w:r>
              <w:rPr>
                <w:rFonts w:hint="eastAsia" w:cs="宋体"/>
                <w:szCs w:val="21"/>
              </w:rPr>
              <w:t>若投标人递交的投标文件所述投标人名称与购买招标文件登记表中登记的投标人名称不符，将导致该投标人的投标被拒绝。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503" w:hRule="atLeast"/>
          <w:jc w:val="center"/>
        </w:trPr>
        <w:tc>
          <w:tcPr>
            <w:tcW w:w="10245" w:type="dxa"/>
            <w:gridSpan w:val="2"/>
            <w:noWrap w:val="0"/>
            <w:vAlign w:val="center"/>
          </w:tcPr>
          <w:p>
            <w:pPr>
              <w:pStyle w:val="4"/>
              <w:rPr>
                <w:rFonts w:ascii="宋体"/>
                <w:kern w:val="2"/>
                <w:sz w:val="21"/>
                <w:szCs w:val="21"/>
              </w:rPr>
            </w:pPr>
            <w:bookmarkStart w:id="68" w:name="_Toc363128932"/>
            <w:bookmarkStart w:id="69" w:name="_Toc363127792"/>
            <w:bookmarkStart w:id="70" w:name="_Toc363134230"/>
            <w:bookmarkStart w:id="71" w:name="_Toc363454531"/>
            <w:bookmarkStart w:id="72" w:name="_Toc363059642"/>
            <w:bookmarkStart w:id="73" w:name="_Toc25006"/>
            <w:bookmarkStart w:id="74" w:name="_Toc363125338"/>
            <w:r>
              <w:rPr>
                <w:rFonts w:hint="eastAsia" w:ascii="宋体" w:hAnsi="宋体"/>
                <w:kern w:val="2"/>
                <w:sz w:val="21"/>
                <w:szCs w:val="21"/>
              </w:rPr>
              <w:t>5</w:t>
            </w:r>
            <w:r>
              <w:rPr>
                <w:rFonts w:ascii="宋体" w:hAnsi="宋体"/>
                <w:kern w:val="2"/>
                <w:sz w:val="21"/>
                <w:szCs w:val="21"/>
              </w:rPr>
              <w:t xml:space="preserve">. </w:t>
            </w:r>
            <w:r>
              <w:rPr>
                <w:rFonts w:hint="eastAsia" w:ascii="宋体" w:hAnsi="宋体"/>
                <w:kern w:val="2"/>
                <w:sz w:val="21"/>
                <w:szCs w:val="21"/>
              </w:rPr>
              <w:t>授予合同</w:t>
            </w:r>
            <w:bookmarkEnd w:id="68"/>
            <w:bookmarkEnd w:id="69"/>
            <w:bookmarkEnd w:id="70"/>
            <w:bookmarkEnd w:id="71"/>
            <w:bookmarkEnd w:id="72"/>
            <w:bookmarkEnd w:id="73"/>
            <w:bookmarkEnd w:id="74"/>
            <w:r>
              <w:rPr>
                <w:rFonts w:ascii="宋体" w:hAnsi="宋体"/>
                <w:kern w:val="2"/>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02"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5</w:t>
            </w:r>
            <w:r>
              <w:rPr>
                <w:rFonts w:hAnsi="宋体"/>
                <w:kern w:val="2"/>
                <w:szCs w:val="21"/>
              </w:rPr>
              <w:t>.</w:t>
            </w:r>
            <w:r>
              <w:rPr>
                <w:rFonts w:hint="eastAsia" w:hAnsi="宋体"/>
                <w:kern w:val="2"/>
                <w:szCs w:val="21"/>
              </w:rPr>
              <w:t>1</w:t>
            </w:r>
          </w:p>
        </w:tc>
        <w:tc>
          <w:tcPr>
            <w:tcW w:w="9243" w:type="dxa"/>
            <w:noWrap w:val="0"/>
            <w:vAlign w:val="center"/>
          </w:tcPr>
          <w:p>
            <w:pPr>
              <w:spacing w:line="240" w:lineRule="auto"/>
              <w:ind w:left="2"/>
              <w:rPr>
                <w:rFonts w:hAnsi="宋体"/>
                <w:kern w:val="2"/>
                <w:szCs w:val="21"/>
              </w:rPr>
            </w:pPr>
            <w:r>
              <w:rPr>
                <w:rFonts w:hint="eastAsia" w:hAnsi="宋体"/>
                <w:kern w:val="2"/>
                <w:szCs w:val="21"/>
              </w:rPr>
              <w:t>本次招标的目的是完成辽河石油勘探局有限公司物资分公司</w:t>
            </w:r>
            <w:r>
              <w:rPr>
                <w:rFonts w:hint="eastAsia" w:hAnsi="宋体"/>
                <w:b/>
                <w:kern w:val="2"/>
                <w:szCs w:val="21"/>
              </w:rPr>
              <w:t xml:space="preserve">2022年二级物资集中采购32大类电线（JC2022-WⅡ-32-03包） </w:t>
            </w:r>
            <w:r>
              <w:rPr>
                <w:rFonts w:hint="eastAsia" w:hAnsi="宋体"/>
                <w:kern w:val="2"/>
                <w:szCs w:val="21"/>
              </w:rPr>
              <w:t>招标项目的工作。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trHeight w:val="302" w:hRule="atLeast"/>
          <w:jc w:val="center"/>
        </w:trPr>
        <w:tc>
          <w:tcPr>
            <w:tcW w:w="1002" w:type="dxa"/>
            <w:noWrap w:val="0"/>
            <w:vAlign w:val="center"/>
          </w:tcPr>
          <w:p>
            <w:pPr>
              <w:spacing w:line="240" w:lineRule="auto"/>
              <w:jc w:val="center"/>
              <w:rPr>
                <w:rFonts w:hint="eastAsia" w:hAnsi="宋体"/>
                <w:kern w:val="2"/>
                <w:szCs w:val="21"/>
              </w:rPr>
            </w:pPr>
            <w:r>
              <w:rPr>
                <w:rFonts w:hint="eastAsia" w:hAnsi="宋体"/>
                <w:kern w:val="2"/>
                <w:szCs w:val="21"/>
              </w:rPr>
              <w:t>5</w:t>
            </w:r>
            <w:r>
              <w:rPr>
                <w:rFonts w:hAnsi="宋体"/>
                <w:kern w:val="2"/>
                <w:szCs w:val="21"/>
              </w:rPr>
              <w:t>.</w:t>
            </w:r>
            <w:r>
              <w:rPr>
                <w:rFonts w:hint="eastAsia" w:hAnsi="宋体"/>
                <w:kern w:val="2"/>
                <w:szCs w:val="21"/>
              </w:rPr>
              <w:t>2</w:t>
            </w:r>
          </w:p>
        </w:tc>
        <w:tc>
          <w:tcPr>
            <w:tcW w:w="9243" w:type="dxa"/>
            <w:noWrap w:val="0"/>
            <w:vAlign w:val="center"/>
          </w:tcPr>
          <w:p>
            <w:pPr>
              <w:spacing w:line="240" w:lineRule="auto"/>
              <w:ind w:left="2"/>
              <w:rPr>
                <w:rFonts w:hint="eastAsia" w:hAnsi="宋体"/>
                <w:kern w:val="2"/>
                <w:szCs w:val="21"/>
              </w:rPr>
            </w:pPr>
            <w:r>
              <w:rPr>
                <w:rFonts w:hint="eastAsia" w:cs="宋体"/>
                <w:sz w:val="20"/>
                <w:lang w:val="zh-CN"/>
              </w:rPr>
              <w:t>中标</w:t>
            </w:r>
            <w:r>
              <w:rPr>
                <w:rFonts w:hint="eastAsia" w:cs="宋体"/>
                <w:szCs w:val="21"/>
                <w:lang w:val="zh-CN"/>
              </w:rPr>
              <w:t>人授予标准：评标委员会根据评标方法评比后按照投标人排名顺序确定中标候选人（详见评标方法）。</w:t>
            </w:r>
            <w:r>
              <w:rPr>
                <w:rFonts w:hint="eastAsia" w:cs="宋体"/>
                <w:bCs/>
                <w:szCs w:val="21"/>
                <w:lang w:val="zh-CN"/>
              </w:rPr>
              <w:t>相关部门在正式确定中标人前可组织对中标候选人进行现场考察，如发现其在投标过程中提供虚假资料，将取消其中标资格。</w:t>
            </w:r>
          </w:p>
          <w:p>
            <w:pPr>
              <w:spacing w:line="240" w:lineRule="auto"/>
              <w:rPr>
                <w:rFonts w:hAnsi="宋体"/>
                <w:kern w:val="2"/>
                <w:szCs w:val="21"/>
              </w:rPr>
            </w:pPr>
            <w:r>
              <w:rPr>
                <w:rFonts w:hint="eastAsia" w:cs="宋体"/>
                <w:szCs w:val="21"/>
              </w:rPr>
              <w:t>中标人在此项目中的后期合同履约情况，将作为招标人在其它项目招标时考核供货商的重要考虑因素。</w:t>
            </w:r>
            <w:r>
              <w:rPr>
                <w:rFonts w:cs="宋体"/>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245" w:type="dxa"/>
            <w:gridSpan w:val="2"/>
            <w:noWrap w:val="0"/>
            <w:vAlign w:val="center"/>
          </w:tcPr>
          <w:p>
            <w:pPr>
              <w:pStyle w:val="4"/>
              <w:rPr>
                <w:rFonts w:ascii="宋体"/>
                <w:kern w:val="2"/>
                <w:sz w:val="21"/>
                <w:szCs w:val="21"/>
              </w:rPr>
            </w:pPr>
            <w:bookmarkStart w:id="75" w:name="_Toc363128933"/>
            <w:bookmarkStart w:id="76" w:name="_Toc363125339"/>
            <w:bookmarkStart w:id="77" w:name="_Toc363127793"/>
            <w:bookmarkStart w:id="78" w:name="_Toc363059643"/>
            <w:bookmarkStart w:id="79" w:name="_Toc363134231"/>
            <w:bookmarkStart w:id="80" w:name="_Toc5733"/>
            <w:bookmarkStart w:id="81" w:name="_Toc363454532"/>
            <w:r>
              <w:rPr>
                <w:rFonts w:hint="eastAsia" w:ascii="宋体" w:hAnsi="宋体"/>
                <w:kern w:val="2"/>
                <w:sz w:val="21"/>
                <w:szCs w:val="21"/>
              </w:rPr>
              <w:t>6</w:t>
            </w:r>
            <w:r>
              <w:rPr>
                <w:rFonts w:ascii="宋体" w:hAnsi="宋体"/>
                <w:kern w:val="2"/>
                <w:sz w:val="21"/>
                <w:szCs w:val="21"/>
              </w:rPr>
              <w:t xml:space="preserve">. </w:t>
            </w:r>
            <w:r>
              <w:rPr>
                <w:rFonts w:hint="eastAsia" w:ascii="宋体" w:hAnsi="宋体"/>
                <w:kern w:val="2"/>
                <w:sz w:val="21"/>
                <w:szCs w:val="21"/>
              </w:rPr>
              <w:t>适用于本投标人须知的额外增加变动</w:t>
            </w:r>
            <w:bookmarkEnd w:id="75"/>
            <w:bookmarkEnd w:id="76"/>
            <w:bookmarkEnd w:id="77"/>
            <w:bookmarkEnd w:id="78"/>
            <w:bookmarkEnd w:id="79"/>
            <w:bookmarkEnd w:id="80"/>
            <w:bookmarkEnd w:id="81"/>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6.1</w:t>
            </w:r>
          </w:p>
        </w:tc>
        <w:tc>
          <w:tcPr>
            <w:tcW w:w="9243" w:type="dxa"/>
            <w:noWrap w:val="0"/>
            <w:vAlign w:val="center"/>
          </w:tcPr>
          <w:p>
            <w:pPr>
              <w:spacing w:line="240" w:lineRule="auto"/>
              <w:rPr>
                <w:rFonts w:hAnsi="宋体"/>
                <w:kern w:val="2"/>
                <w:szCs w:val="21"/>
              </w:rPr>
            </w:pPr>
            <w:r>
              <w:rPr>
                <w:rFonts w:hint="eastAsia"/>
              </w:rPr>
              <w:t>如果招标文件其他部分与本表有矛盾，以本表为准。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wBefore w:w="0" w:type="dxa"/>
          <w:wAfter w:w="0" w:type="dxa"/>
          <w:jc w:val="center"/>
        </w:trPr>
        <w:tc>
          <w:tcPr>
            <w:tcW w:w="1002" w:type="dxa"/>
            <w:noWrap w:val="0"/>
            <w:vAlign w:val="center"/>
          </w:tcPr>
          <w:p>
            <w:pPr>
              <w:spacing w:line="240" w:lineRule="auto"/>
              <w:jc w:val="center"/>
              <w:rPr>
                <w:rFonts w:hAnsi="宋体"/>
                <w:kern w:val="2"/>
                <w:szCs w:val="21"/>
              </w:rPr>
            </w:pPr>
            <w:r>
              <w:rPr>
                <w:rFonts w:hint="eastAsia" w:hAnsi="宋体"/>
                <w:kern w:val="2"/>
                <w:szCs w:val="21"/>
              </w:rPr>
              <w:t>6.2</w:t>
            </w:r>
          </w:p>
        </w:tc>
        <w:tc>
          <w:tcPr>
            <w:tcW w:w="9243" w:type="dxa"/>
            <w:noWrap w:val="0"/>
            <w:vAlign w:val="center"/>
          </w:tcPr>
          <w:p>
            <w:pPr>
              <w:spacing w:line="240" w:lineRule="auto"/>
              <w:rPr>
                <w:rFonts w:hAnsi="宋体"/>
                <w:kern w:val="2"/>
                <w:szCs w:val="21"/>
              </w:rPr>
            </w:pPr>
            <w:r>
              <w:rPr>
                <w:rFonts w:hint="eastAsia" w:hAnsi="宋体"/>
                <w:kern w:val="2"/>
                <w:szCs w:val="21"/>
              </w:rPr>
              <w:t>招标人拥有本套招标文件最终解释权。</w:t>
            </w:r>
          </w:p>
        </w:tc>
      </w:tr>
    </w:tbl>
    <w:p>
      <w:pPr>
        <w:pStyle w:val="68"/>
        <w:spacing w:before="318" w:after="318"/>
      </w:pPr>
      <w:r>
        <w:br w:type="page"/>
      </w:r>
      <w:bookmarkStart w:id="82" w:name="_Toc363059644"/>
      <w:bookmarkStart w:id="83" w:name="_Toc363127794"/>
      <w:bookmarkStart w:id="84" w:name="_Toc363134232"/>
      <w:bookmarkStart w:id="85" w:name="_Toc363125340"/>
      <w:bookmarkStart w:id="86" w:name="_Toc363454533"/>
      <w:bookmarkStart w:id="87" w:name="_Toc363128934"/>
      <w:bookmarkStart w:id="88" w:name="_Toc21561"/>
      <w:r>
        <w:rPr>
          <w:rFonts w:hint="eastAsia"/>
        </w:rPr>
        <w:t>第三章</w:t>
      </w:r>
      <w:r>
        <w:t xml:space="preserve">  </w:t>
      </w:r>
      <w:r>
        <w:rPr>
          <w:rFonts w:hint="eastAsia"/>
        </w:rPr>
        <w:t>投标人须知</w:t>
      </w:r>
      <w:bookmarkEnd w:id="14"/>
      <w:bookmarkEnd w:id="82"/>
      <w:bookmarkEnd w:id="83"/>
      <w:bookmarkEnd w:id="84"/>
      <w:bookmarkEnd w:id="85"/>
      <w:bookmarkEnd w:id="86"/>
      <w:bookmarkEnd w:id="87"/>
      <w:bookmarkEnd w:id="88"/>
    </w:p>
    <w:p>
      <w:pPr>
        <w:pStyle w:val="4"/>
        <w:ind w:firstLine="413" w:firstLineChars="196"/>
        <w:jc w:val="both"/>
        <w:rPr>
          <w:rFonts w:ascii="宋体"/>
          <w:kern w:val="2"/>
          <w:sz w:val="21"/>
          <w:szCs w:val="21"/>
        </w:rPr>
      </w:pPr>
      <w:bookmarkStart w:id="89" w:name="_Toc340061540"/>
      <w:bookmarkStart w:id="90" w:name="_Toc307924149"/>
      <w:bookmarkStart w:id="91" w:name="_Toc310252800"/>
      <w:bookmarkStart w:id="92" w:name="_Toc340513863"/>
      <w:bookmarkStart w:id="93" w:name="_Toc363454534"/>
      <w:bookmarkStart w:id="94" w:name="_Toc1602"/>
      <w:bookmarkStart w:id="95" w:name="_Toc363059645"/>
      <w:bookmarkStart w:id="96" w:name="_Toc340108766"/>
      <w:bookmarkStart w:id="97" w:name="_Toc363127795"/>
      <w:bookmarkStart w:id="98" w:name="_Toc363125341"/>
      <w:bookmarkStart w:id="99" w:name="_Toc363128935"/>
      <w:bookmarkStart w:id="100" w:name="_Toc363134233"/>
      <w:bookmarkStart w:id="101" w:name="_Toc340138056"/>
      <w:bookmarkStart w:id="102" w:name="_Toc307924151"/>
      <w:bookmarkStart w:id="103" w:name="_Toc310252809"/>
      <w:r>
        <w:rPr>
          <w:rFonts w:ascii="宋体" w:hAnsi="宋体"/>
          <w:kern w:val="2"/>
          <w:sz w:val="21"/>
          <w:szCs w:val="21"/>
        </w:rPr>
        <w:t>1.</w:t>
      </w:r>
      <w:r>
        <w:rPr>
          <w:rFonts w:hint="eastAsia" w:ascii="宋体" w:hAnsi="宋体"/>
          <w:kern w:val="2"/>
          <w:sz w:val="21"/>
          <w:szCs w:val="21"/>
        </w:rPr>
        <w:t>说明</w:t>
      </w:r>
      <w:bookmarkEnd w:id="89"/>
      <w:bookmarkEnd w:id="90"/>
      <w:bookmarkEnd w:id="91"/>
      <w:bookmarkEnd w:id="92"/>
      <w:bookmarkEnd w:id="93"/>
      <w:bookmarkEnd w:id="94"/>
      <w:bookmarkEnd w:id="95"/>
      <w:bookmarkEnd w:id="96"/>
      <w:bookmarkEnd w:id="97"/>
      <w:bookmarkEnd w:id="98"/>
      <w:bookmarkEnd w:id="99"/>
      <w:bookmarkEnd w:id="100"/>
      <w:bookmarkEnd w:id="101"/>
    </w:p>
    <w:p>
      <w:pPr>
        <w:pStyle w:val="61"/>
        <w:ind w:firstLine="422"/>
        <w:rPr>
          <w:b/>
        </w:rPr>
      </w:pPr>
      <w:bookmarkStart w:id="104" w:name="_Toc340108767"/>
      <w:bookmarkStart w:id="105" w:name="_Toc310252600"/>
      <w:bookmarkStart w:id="106" w:name="_Toc310252801"/>
      <w:bookmarkStart w:id="107" w:name="_Toc340061541"/>
      <w:r>
        <w:rPr>
          <w:b/>
        </w:rPr>
        <w:t xml:space="preserve">1.1 </w:t>
      </w:r>
      <w:r>
        <w:rPr>
          <w:rFonts w:hint="eastAsia"/>
          <w:b/>
        </w:rPr>
        <w:t>资金来源</w:t>
      </w:r>
      <w:bookmarkEnd w:id="104"/>
      <w:bookmarkEnd w:id="105"/>
      <w:bookmarkEnd w:id="106"/>
      <w:bookmarkEnd w:id="107"/>
      <w:r>
        <w:rPr>
          <w:b/>
        </w:rPr>
        <w:t xml:space="preserve"> </w:t>
      </w:r>
    </w:p>
    <w:p>
      <w:pPr>
        <w:pStyle w:val="61"/>
      </w:pPr>
      <w:r>
        <w:t>1.1.1</w:t>
      </w:r>
      <w:r>
        <w:rPr>
          <w:rFonts w:hint="eastAsia"/>
        </w:rPr>
        <w:t>本次招标项目招标人资金已落实。</w:t>
      </w:r>
    </w:p>
    <w:p>
      <w:pPr>
        <w:pStyle w:val="61"/>
        <w:ind w:firstLine="422"/>
        <w:rPr>
          <w:b/>
        </w:rPr>
      </w:pPr>
      <w:bookmarkStart w:id="108" w:name="_Toc340108768"/>
      <w:bookmarkStart w:id="109" w:name="_Toc310252802"/>
      <w:bookmarkStart w:id="110" w:name="_Toc340061542"/>
      <w:bookmarkStart w:id="111" w:name="_Toc310252601"/>
      <w:r>
        <w:rPr>
          <w:b/>
        </w:rPr>
        <w:t xml:space="preserve">1.2 </w:t>
      </w:r>
      <w:r>
        <w:rPr>
          <w:rFonts w:hint="eastAsia"/>
          <w:b/>
        </w:rPr>
        <w:t>招标人、招标机构、招标管理部门、合格投标人</w:t>
      </w:r>
      <w:bookmarkEnd w:id="108"/>
      <w:bookmarkEnd w:id="109"/>
      <w:bookmarkEnd w:id="110"/>
      <w:bookmarkEnd w:id="111"/>
    </w:p>
    <w:p>
      <w:pPr>
        <w:pStyle w:val="61"/>
      </w:pPr>
      <w:r>
        <w:t xml:space="preserve">1.2.1 </w:t>
      </w:r>
      <w:r>
        <w:rPr>
          <w:rFonts w:hint="eastAsia"/>
          <w:spacing w:val="8"/>
        </w:rPr>
        <w:t>招标人或招标机构名称、地址、电话和传真以及招标管理部门联系方式见</w:t>
      </w:r>
      <w:r>
        <w:rPr>
          <w:rFonts w:hint="eastAsia"/>
        </w:rPr>
        <w:t>投标人须知前附表。</w:t>
      </w:r>
    </w:p>
    <w:p>
      <w:pPr>
        <w:pStyle w:val="61"/>
        <w:ind w:firstLine="452"/>
        <w:rPr>
          <w:spacing w:val="8"/>
        </w:rPr>
      </w:pPr>
      <w:r>
        <w:rPr>
          <w:spacing w:val="8"/>
        </w:rPr>
        <w:t xml:space="preserve">1.2.2 </w:t>
      </w:r>
      <w:r>
        <w:rPr>
          <w:rFonts w:hint="eastAsia"/>
          <w:spacing w:val="8"/>
        </w:rPr>
        <w:t>合格的投标人</w:t>
      </w:r>
      <w:r>
        <w:rPr>
          <w:spacing w:val="8"/>
        </w:rPr>
        <w:t xml:space="preserve"> </w:t>
      </w:r>
    </w:p>
    <w:p>
      <w:pPr>
        <w:pStyle w:val="61"/>
        <w:ind w:firstLine="452"/>
        <w:rPr>
          <w:spacing w:val="8"/>
        </w:rPr>
      </w:pPr>
      <w:r>
        <w:rPr>
          <w:rFonts w:hint="eastAsia"/>
          <w:spacing w:val="8"/>
        </w:rPr>
        <w:t>符合招标文件规定的资质要求并直接从招标人或招标代理机构领取或购买招标文件的公司。</w:t>
      </w:r>
    </w:p>
    <w:p>
      <w:pPr>
        <w:pStyle w:val="61"/>
        <w:ind w:firstLine="422"/>
        <w:rPr>
          <w:b/>
        </w:rPr>
      </w:pPr>
      <w:bookmarkStart w:id="112" w:name="_Toc310252602"/>
      <w:bookmarkStart w:id="113" w:name="_Toc310252803"/>
      <w:bookmarkStart w:id="114" w:name="_Toc340108769"/>
      <w:bookmarkStart w:id="115" w:name="_Toc340061543"/>
      <w:r>
        <w:rPr>
          <w:b/>
        </w:rPr>
        <w:t xml:space="preserve">1.3. </w:t>
      </w:r>
      <w:r>
        <w:rPr>
          <w:rFonts w:hint="eastAsia"/>
          <w:b/>
        </w:rPr>
        <w:t>合格的产品和服务</w:t>
      </w:r>
      <w:bookmarkEnd w:id="112"/>
      <w:bookmarkEnd w:id="113"/>
      <w:bookmarkEnd w:id="114"/>
      <w:bookmarkEnd w:id="115"/>
      <w:r>
        <w:rPr>
          <w:b/>
        </w:rPr>
        <w:t xml:space="preserve"> </w:t>
      </w:r>
    </w:p>
    <w:p>
      <w:pPr>
        <w:pStyle w:val="61"/>
      </w:pPr>
      <w:r>
        <w:rPr>
          <w:rFonts w:hint="eastAsia"/>
        </w:rPr>
        <w:t>合同中提供的所有产品及其有关服务仅限于中华人民共和国境内。</w:t>
      </w:r>
    </w:p>
    <w:p>
      <w:pPr>
        <w:pStyle w:val="61"/>
        <w:ind w:firstLine="422"/>
        <w:rPr>
          <w:b/>
        </w:rPr>
      </w:pPr>
      <w:bookmarkStart w:id="116" w:name="_Toc310252804"/>
      <w:bookmarkStart w:id="117" w:name="_Toc310252603"/>
      <w:bookmarkStart w:id="118" w:name="_Toc340061544"/>
      <w:bookmarkStart w:id="119" w:name="_Toc340108770"/>
      <w:r>
        <w:rPr>
          <w:b/>
        </w:rPr>
        <w:t xml:space="preserve">1.4 </w:t>
      </w:r>
      <w:r>
        <w:rPr>
          <w:rFonts w:hint="eastAsia"/>
          <w:b/>
        </w:rPr>
        <w:t>投标费用</w:t>
      </w:r>
      <w:bookmarkEnd w:id="116"/>
      <w:bookmarkEnd w:id="117"/>
      <w:bookmarkEnd w:id="118"/>
      <w:bookmarkEnd w:id="119"/>
    </w:p>
    <w:p>
      <w:pPr>
        <w:pStyle w:val="61"/>
      </w:pPr>
      <w:bookmarkStart w:id="120" w:name="_Toc363128936"/>
      <w:bookmarkStart w:id="121" w:name="_Toc340061545"/>
      <w:bookmarkStart w:id="122" w:name="_Toc340513864"/>
      <w:bookmarkStart w:id="123" w:name="_Toc307924150"/>
      <w:bookmarkStart w:id="124" w:name="_Toc363059646"/>
      <w:bookmarkStart w:id="125" w:name="_Toc340138057"/>
      <w:bookmarkStart w:id="126" w:name="_Toc340108771"/>
      <w:bookmarkStart w:id="127" w:name="_Toc310252805"/>
      <w:bookmarkStart w:id="128" w:name="_Toc363125342"/>
      <w:bookmarkStart w:id="129" w:name="_Toc363134234"/>
      <w:bookmarkStart w:id="130" w:name="_Toc363454535"/>
      <w:bookmarkStart w:id="131" w:name="_Toc363127796"/>
      <w:r>
        <w:rPr>
          <w:rFonts w:hint="eastAsia"/>
        </w:rPr>
        <w:t>投标人应承担所有与准备和参加投标有关的费用。不论投标的结果如何，投标人须知前附表所述的招标机构和招标人均无义务和责任承担这些费用。</w:t>
      </w:r>
    </w:p>
    <w:p>
      <w:pPr>
        <w:pStyle w:val="4"/>
        <w:ind w:firstLine="413" w:firstLineChars="196"/>
        <w:jc w:val="both"/>
        <w:rPr>
          <w:rFonts w:ascii="宋体"/>
          <w:kern w:val="2"/>
          <w:sz w:val="21"/>
          <w:szCs w:val="21"/>
        </w:rPr>
      </w:pPr>
      <w:bookmarkStart w:id="132" w:name="_Toc28489"/>
      <w:r>
        <w:rPr>
          <w:rFonts w:ascii="宋体" w:hAnsi="宋体"/>
          <w:kern w:val="2"/>
          <w:sz w:val="21"/>
          <w:szCs w:val="21"/>
        </w:rPr>
        <w:t>2.</w:t>
      </w:r>
      <w:r>
        <w:rPr>
          <w:rFonts w:hint="eastAsia" w:ascii="宋体" w:hAnsi="宋体"/>
          <w:kern w:val="2"/>
          <w:sz w:val="21"/>
          <w:szCs w:val="21"/>
        </w:rPr>
        <w:t>招标文件</w:t>
      </w:r>
      <w:bookmarkEnd w:id="120"/>
      <w:bookmarkEnd w:id="121"/>
      <w:bookmarkEnd w:id="122"/>
      <w:bookmarkEnd w:id="123"/>
      <w:bookmarkEnd w:id="124"/>
      <w:bookmarkEnd w:id="125"/>
      <w:bookmarkEnd w:id="126"/>
      <w:bookmarkEnd w:id="127"/>
      <w:bookmarkEnd w:id="128"/>
      <w:bookmarkEnd w:id="129"/>
      <w:bookmarkEnd w:id="130"/>
      <w:bookmarkEnd w:id="131"/>
      <w:bookmarkEnd w:id="132"/>
    </w:p>
    <w:p>
      <w:pPr>
        <w:pStyle w:val="61"/>
        <w:ind w:firstLine="422"/>
        <w:rPr>
          <w:b/>
        </w:rPr>
      </w:pPr>
      <w:bookmarkStart w:id="133" w:name="_Toc310252806"/>
      <w:bookmarkStart w:id="134" w:name="_Toc310252605"/>
      <w:bookmarkStart w:id="135" w:name="_Toc340061546"/>
      <w:bookmarkStart w:id="136" w:name="_Toc340108772"/>
      <w:r>
        <w:rPr>
          <w:b/>
        </w:rPr>
        <w:t xml:space="preserve">2.1 </w:t>
      </w:r>
      <w:r>
        <w:rPr>
          <w:rFonts w:hint="eastAsia"/>
          <w:b/>
        </w:rPr>
        <w:t>招标文件的编制依据与构成</w:t>
      </w:r>
      <w:bookmarkEnd w:id="133"/>
      <w:bookmarkEnd w:id="134"/>
      <w:bookmarkEnd w:id="135"/>
      <w:bookmarkEnd w:id="136"/>
      <w:r>
        <w:rPr>
          <w:b/>
        </w:rPr>
        <w:t xml:space="preserve"> </w:t>
      </w:r>
    </w:p>
    <w:p>
      <w:pPr>
        <w:pStyle w:val="61"/>
      </w:pPr>
      <w:r>
        <w:t>2.1.1</w:t>
      </w:r>
      <w:r>
        <w:rPr>
          <w:rFonts w:hint="eastAsia"/>
        </w:rPr>
        <w:t>本招标文件的编制依据是《中华人民共和国招标投标法》、《中华人民共和国招标投标法实施条例》（国务院第</w:t>
      </w:r>
      <w:r>
        <w:t>613</w:t>
      </w:r>
      <w:r>
        <w:rPr>
          <w:rFonts w:hint="eastAsia"/>
        </w:rPr>
        <w:t>号令）和《电子招标投标办法》。</w:t>
      </w:r>
    </w:p>
    <w:p>
      <w:pPr>
        <w:pStyle w:val="61"/>
      </w:pPr>
      <w:r>
        <w:t xml:space="preserve">2.1.2 </w:t>
      </w:r>
      <w:r>
        <w:rPr>
          <w:rFonts w:hint="eastAsia"/>
        </w:rPr>
        <w:t>要求提供的产品、招标过程和合同条件在招标文件中均有说明。招标文件以简体中文编写。</w:t>
      </w:r>
    </w:p>
    <w:p>
      <w:pPr>
        <w:pStyle w:val="61"/>
      </w:pPr>
      <w:r>
        <w:rPr>
          <w:rFonts w:hint="eastAsia"/>
        </w:rPr>
        <w:t>招标文件共六章，内容如下：</w:t>
      </w:r>
    </w:p>
    <w:p>
      <w:pPr>
        <w:pStyle w:val="61"/>
      </w:pPr>
      <w:r>
        <w:rPr>
          <w:rFonts w:hint="eastAsia"/>
        </w:rPr>
        <w:t>第一章</w:t>
      </w:r>
      <w:r>
        <w:t xml:space="preserve">  </w:t>
      </w:r>
      <w:r>
        <w:rPr>
          <w:rFonts w:hint="eastAsia"/>
        </w:rPr>
        <w:t>招标公告</w:t>
      </w:r>
    </w:p>
    <w:p>
      <w:pPr>
        <w:pStyle w:val="61"/>
      </w:pPr>
      <w:r>
        <w:rPr>
          <w:rFonts w:hint="eastAsia"/>
        </w:rPr>
        <w:t>第二章</w:t>
      </w:r>
      <w:r>
        <w:t xml:space="preserve">  </w:t>
      </w:r>
      <w:r>
        <w:rPr>
          <w:rFonts w:hint="eastAsia"/>
        </w:rPr>
        <w:t>投标人须知前附表</w:t>
      </w:r>
    </w:p>
    <w:p>
      <w:pPr>
        <w:pStyle w:val="61"/>
      </w:pPr>
      <w:r>
        <w:rPr>
          <w:rFonts w:hint="eastAsia"/>
        </w:rPr>
        <w:t>第三章</w:t>
      </w:r>
      <w:r>
        <w:t xml:space="preserve">  </w:t>
      </w:r>
      <w:r>
        <w:rPr>
          <w:rFonts w:hint="eastAsia"/>
        </w:rPr>
        <w:t>投标人须知</w:t>
      </w:r>
    </w:p>
    <w:p>
      <w:pPr>
        <w:pStyle w:val="61"/>
      </w:pPr>
      <w:r>
        <w:rPr>
          <w:rFonts w:hint="eastAsia"/>
        </w:rPr>
        <w:t>第四章</w:t>
      </w:r>
      <w:r>
        <w:t xml:space="preserve">  </w:t>
      </w:r>
      <w:r>
        <w:rPr>
          <w:rFonts w:hint="eastAsia"/>
        </w:rPr>
        <w:t>投标文件格式</w:t>
      </w:r>
    </w:p>
    <w:p>
      <w:pPr>
        <w:pStyle w:val="61"/>
      </w:pPr>
      <w:r>
        <w:rPr>
          <w:rFonts w:hint="eastAsia"/>
        </w:rPr>
        <w:t>第五章</w:t>
      </w:r>
      <w:r>
        <w:t xml:space="preserve">  </w:t>
      </w:r>
      <w:r>
        <w:rPr>
          <w:rFonts w:hint="eastAsia"/>
        </w:rPr>
        <w:t>合同格式及合同专用条款</w:t>
      </w:r>
    </w:p>
    <w:p>
      <w:pPr>
        <w:pStyle w:val="61"/>
      </w:pPr>
      <w:r>
        <w:rPr>
          <w:rFonts w:hint="eastAsia"/>
        </w:rPr>
        <w:t>第六章</w:t>
      </w:r>
      <w:r>
        <w:t xml:space="preserve">  </w:t>
      </w:r>
      <w:r>
        <w:rPr>
          <w:rFonts w:hint="eastAsia"/>
        </w:rPr>
        <w:t>产品需求一览表</w:t>
      </w:r>
    </w:p>
    <w:p>
      <w:pPr>
        <w:pStyle w:val="61"/>
      </w:pPr>
      <w:r>
        <w:t xml:space="preserve">2.1.3 </w:t>
      </w:r>
      <w:r>
        <w:rPr>
          <w:rFonts w:hint="eastAsia"/>
        </w:rPr>
        <w:t>投标人应认真阅读招标文件中所有的事项、格式、条款和技术规格等。投标人没有按照招标文件要求提交全部资料，或者投标没有对招标文件做出实质性响应，招标人有权拒绝该投标文件，投标人将独立承担表述被拒的风险。</w:t>
      </w:r>
    </w:p>
    <w:p>
      <w:pPr>
        <w:pStyle w:val="61"/>
        <w:ind w:firstLine="422"/>
        <w:rPr>
          <w:b/>
        </w:rPr>
      </w:pPr>
      <w:bookmarkStart w:id="137" w:name="_Toc340061547"/>
      <w:bookmarkStart w:id="138" w:name="_Toc340108773"/>
      <w:bookmarkStart w:id="139" w:name="_Toc310252606"/>
      <w:bookmarkStart w:id="140" w:name="_Toc310252807"/>
      <w:r>
        <w:rPr>
          <w:b/>
        </w:rPr>
        <w:t xml:space="preserve">2.2 </w:t>
      </w:r>
      <w:r>
        <w:rPr>
          <w:rFonts w:hint="eastAsia"/>
          <w:b/>
        </w:rPr>
        <w:t>招标文件的澄清</w:t>
      </w:r>
      <w:bookmarkEnd w:id="137"/>
      <w:bookmarkEnd w:id="138"/>
      <w:bookmarkEnd w:id="139"/>
      <w:bookmarkEnd w:id="140"/>
      <w:r>
        <w:rPr>
          <w:b/>
        </w:rPr>
        <w:t xml:space="preserve"> </w:t>
      </w:r>
    </w:p>
    <w:bookmarkEnd w:id="102"/>
    <w:bookmarkEnd w:id="103"/>
    <w:p>
      <w:pPr>
        <w:pStyle w:val="61"/>
        <w:ind w:firstLine="404"/>
        <w:rPr>
          <w:spacing w:val="-4"/>
        </w:rPr>
      </w:pPr>
      <w:bookmarkStart w:id="141" w:name="_Toc340061552"/>
      <w:bookmarkStart w:id="142" w:name="_Toc310252812"/>
      <w:bookmarkStart w:id="143" w:name="_Toc310252611"/>
      <w:bookmarkStart w:id="144" w:name="_Toc340108778"/>
      <w:r>
        <w:rPr>
          <w:spacing w:val="-4"/>
        </w:rPr>
        <w:t>2.2.1</w:t>
      </w:r>
      <w:r>
        <w:rPr>
          <w:rFonts w:hint="eastAsia"/>
        </w:rPr>
        <w:t>投标截止日前，招标人或招标代理机构可以对招标文件进行必要的澄清，澄清以电子版形式作出并通知所有购买招标文件的投标人，并构成招标文件的组成部分</w:t>
      </w:r>
      <w:r>
        <w:rPr>
          <w:rFonts w:hint="eastAsia"/>
          <w:spacing w:val="-4"/>
        </w:rPr>
        <w:t>。任何要求对招标文件进行澄清的潜在投标人，均应以</w:t>
      </w:r>
      <w:r>
        <w:rPr>
          <w:rFonts w:hint="eastAsia"/>
        </w:rPr>
        <w:t>电子版形式</w:t>
      </w:r>
      <w:r>
        <w:rPr>
          <w:rFonts w:hint="eastAsia"/>
          <w:spacing w:val="-4"/>
        </w:rPr>
        <w:t>通知招标机构和招标人。招标人或招标机构对其在</w:t>
      </w:r>
      <w:r>
        <w:rPr>
          <w:rFonts w:hint="eastAsia"/>
        </w:rPr>
        <w:t>投标人须知前附表</w:t>
      </w:r>
      <w:r>
        <w:rPr>
          <w:rFonts w:hint="eastAsia"/>
          <w:spacing w:val="-4"/>
        </w:rPr>
        <w:t>中所述投标截止期10日以前收到的对招标文件的澄清要求均以</w:t>
      </w:r>
      <w:r>
        <w:rPr>
          <w:rFonts w:hint="eastAsia"/>
        </w:rPr>
        <w:t>电子版形式</w:t>
      </w:r>
      <w:r>
        <w:rPr>
          <w:rFonts w:hint="eastAsia"/>
          <w:spacing w:val="-4"/>
        </w:rPr>
        <w:t>予以答复，同时将</w:t>
      </w:r>
      <w:r>
        <w:rPr>
          <w:rFonts w:hint="eastAsia"/>
        </w:rPr>
        <w:t>电子版形式</w:t>
      </w:r>
      <w:r>
        <w:rPr>
          <w:rFonts w:hint="eastAsia"/>
          <w:spacing w:val="-4"/>
        </w:rPr>
        <w:t>答复发给每个购买招标文件的潜在投标人（答复中不包括问题的来源）。</w:t>
      </w:r>
    </w:p>
    <w:p>
      <w:pPr>
        <w:pStyle w:val="61"/>
      </w:pPr>
      <w:r>
        <w:t xml:space="preserve">2.2.2 </w:t>
      </w:r>
      <w:r>
        <w:rPr>
          <w:rFonts w:hint="eastAsia"/>
        </w:rPr>
        <w:t>投标人认为招标文件存在歧视性条款或不合理要求，应在投标人须知前附表规定时间内一次性全部提出。</w:t>
      </w:r>
    </w:p>
    <w:p>
      <w:pPr>
        <w:pStyle w:val="61"/>
      </w:pPr>
      <w:r>
        <w:t>2.2.3</w:t>
      </w:r>
      <w:r>
        <w:rPr>
          <w:rFonts w:hint="eastAsia"/>
        </w:rPr>
        <w:t>招标人认为招标文件澄清内容有可能影响投标文件编制的，应至少在投标截止日15日前发出修改通知，不足15日的，招标人相应顺延提交投标文件的截止时间。</w:t>
      </w:r>
    </w:p>
    <w:p>
      <w:pPr>
        <w:pStyle w:val="61"/>
        <w:ind w:firstLine="422"/>
        <w:rPr>
          <w:b/>
        </w:rPr>
      </w:pPr>
      <w:bookmarkStart w:id="145" w:name="_Toc310252607"/>
      <w:bookmarkStart w:id="146" w:name="_Toc310252808"/>
      <w:bookmarkStart w:id="147" w:name="_Toc340061548"/>
      <w:bookmarkStart w:id="148" w:name="_Toc340108774"/>
      <w:r>
        <w:rPr>
          <w:b/>
        </w:rPr>
        <w:t xml:space="preserve">2.3 </w:t>
      </w:r>
      <w:r>
        <w:rPr>
          <w:rFonts w:hint="eastAsia"/>
          <w:b/>
        </w:rPr>
        <w:t>招标文件的修改</w:t>
      </w:r>
      <w:bookmarkEnd w:id="145"/>
      <w:bookmarkEnd w:id="146"/>
      <w:bookmarkEnd w:id="147"/>
      <w:bookmarkEnd w:id="148"/>
    </w:p>
    <w:p>
      <w:pPr>
        <w:pStyle w:val="61"/>
      </w:pPr>
      <w:r>
        <w:t>2.3.1</w:t>
      </w:r>
      <w:r>
        <w:rPr>
          <w:rFonts w:hint="eastAsia"/>
        </w:rPr>
        <w:t>投标截止15日前，招标人或招标代理机构可以对招标文件进行必要的修改，修改应以电子版形式作出并通知所有购买招标文件的投标人，并构成招标文件的组成部分。</w:t>
      </w:r>
    </w:p>
    <w:p>
      <w:pPr>
        <w:pStyle w:val="61"/>
      </w:pPr>
      <w:r>
        <w:t>2.3.2</w:t>
      </w:r>
      <w:r>
        <w:rPr>
          <w:rFonts w:hint="eastAsia"/>
        </w:rPr>
        <w:t>潜在投标人或投标人在收到招标人修改通知后，应在接到通知3日内以电子版形式向招标人或招标机构进行确认，如果没有按照规定进行回复视为已经接受并确认，招标机构不承担因此带来的一切责任。</w:t>
      </w:r>
    </w:p>
    <w:p>
      <w:pPr>
        <w:pStyle w:val="61"/>
      </w:pPr>
      <w:r>
        <w:t>2.3.3</w:t>
      </w:r>
      <w:r>
        <w:rPr>
          <w:rFonts w:hint="eastAsia"/>
        </w:rPr>
        <w:t>招标人认为招标文件修改内容有可能影响投标文件编制的，应至少在投标截止日15日前发出修改通知，不足15日的，招标人相应顺延提交投标文件的截止时间。</w:t>
      </w:r>
    </w:p>
    <w:p>
      <w:pPr>
        <w:pStyle w:val="4"/>
        <w:ind w:firstLine="413" w:firstLineChars="196"/>
        <w:jc w:val="both"/>
        <w:rPr>
          <w:rFonts w:ascii="宋体"/>
          <w:kern w:val="2"/>
          <w:sz w:val="21"/>
          <w:szCs w:val="21"/>
        </w:rPr>
      </w:pPr>
      <w:bookmarkStart w:id="149" w:name="_Toc340108775"/>
      <w:bookmarkStart w:id="150" w:name="_Toc340138058"/>
      <w:bookmarkStart w:id="151" w:name="_Toc363125343"/>
      <w:bookmarkStart w:id="152" w:name="_Toc363059647"/>
      <w:bookmarkStart w:id="153" w:name="_Toc363128937"/>
      <w:bookmarkStart w:id="154" w:name="_Toc340061549"/>
      <w:bookmarkStart w:id="155" w:name="_Toc340513865"/>
      <w:bookmarkStart w:id="156" w:name="_Toc363454536"/>
      <w:bookmarkStart w:id="157" w:name="_Toc447013445"/>
      <w:bookmarkStart w:id="158" w:name="_Toc363127797"/>
      <w:bookmarkStart w:id="159" w:name="_Toc12734"/>
      <w:bookmarkStart w:id="160" w:name="_Toc363134235"/>
      <w:r>
        <w:rPr>
          <w:rFonts w:ascii="宋体" w:hAnsi="宋体"/>
          <w:kern w:val="2"/>
          <w:sz w:val="21"/>
          <w:szCs w:val="21"/>
        </w:rPr>
        <w:t>3.</w:t>
      </w:r>
      <w:r>
        <w:rPr>
          <w:rFonts w:hint="eastAsia" w:ascii="宋体" w:hAnsi="宋体"/>
          <w:kern w:val="2"/>
          <w:sz w:val="21"/>
          <w:szCs w:val="21"/>
        </w:rPr>
        <w:t>投标文件的编制</w:t>
      </w:r>
      <w:bookmarkEnd w:id="149"/>
      <w:bookmarkEnd w:id="150"/>
      <w:bookmarkEnd w:id="151"/>
      <w:bookmarkEnd w:id="152"/>
      <w:bookmarkEnd w:id="153"/>
      <w:bookmarkEnd w:id="154"/>
      <w:bookmarkEnd w:id="155"/>
      <w:bookmarkEnd w:id="156"/>
      <w:bookmarkEnd w:id="157"/>
      <w:bookmarkEnd w:id="158"/>
      <w:bookmarkEnd w:id="159"/>
      <w:bookmarkEnd w:id="160"/>
    </w:p>
    <w:p>
      <w:pPr>
        <w:pStyle w:val="61"/>
        <w:ind w:firstLine="422"/>
        <w:rPr>
          <w:b/>
        </w:rPr>
      </w:pPr>
      <w:bookmarkStart w:id="161" w:name="_Toc340061550"/>
      <w:bookmarkStart w:id="162" w:name="_Toc340108776"/>
      <w:r>
        <w:rPr>
          <w:b/>
        </w:rPr>
        <w:t xml:space="preserve">3.1 </w:t>
      </w:r>
      <w:r>
        <w:rPr>
          <w:rFonts w:hint="eastAsia"/>
          <w:b/>
        </w:rPr>
        <w:t>投标的语言</w:t>
      </w:r>
      <w:bookmarkEnd w:id="161"/>
      <w:bookmarkEnd w:id="162"/>
      <w:r>
        <w:rPr>
          <w:b/>
        </w:rPr>
        <w:t xml:space="preserve">  </w:t>
      </w:r>
    </w:p>
    <w:p>
      <w:pPr>
        <w:pStyle w:val="61"/>
      </w:pPr>
      <w:r>
        <w:t xml:space="preserve">3.1.1 </w:t>
      </w:r>
      <w:r>
        <w:rPr>
          <w:rFonts w:hint="eastAsia"/>
        </w:rPr>
        <w:t>除非投标人须知前附表另有规定或许可，投标人提交的投标文件以及投标人与招标机构和招标人就有关投标的所有来往函电均应使用简体中文书写。</w:t>
      </w:r>
    </w:p>
    <w:p>
      <w:pPr>
        <w:pStyle w:val="61"/>
        <w:ind w:firstLine="422"/>
        <w:rPr>
          <w:b/>
        </w:rPr>
      </w:pPr>
      <w:bookmarkStart w:id="163" w:name="_Toc310252610"/>
      <w:bookmarkStart w:id="164" w:name="_Toc310252811"/>
      <w:bookmarkStart w:id="165" w:name="_Toc340108777"/>
      <w:bookmarkStart w:id="166" w:name="_Toc340061551"/>
      <w:r>
        <w:rPr>
          <w:b/>
        </w:rPr>
        <w:t xml:space="preserve">3.2 </w:t>
      </w:r>
      <w:r>
        <w:rPr>
          <w:rFonts w:hint="eastAsia"/>
          <w:b/>
        </w:rPr>
        <w:t>投标文件构成</w:t>
      </w:r>
      <w:bookmarkEnd w:id="163"/>
      <w:bookmarkEnd w:id="164"/>
      <w:bookmarkEnd w:id="165"/>
      <w:bookmarkEnd w:id="166"/>
      <w:r>
        <w:rPr>
          <w:b/>
        </w:rPr>
        <w:t xml:space="preserve"> </w:t>
      </w:r>
    </w:p>
    <w:p>
      <w:pPr>
        <w:pStyle w:val="61"/>
        <w:rPr>
          <w:rFonts w:hint="eastAsia"/>
        </w:rPr>
      </w:pPr>
      <w:r>
        <w:rPr>
          <w:rFonts w:hint="eastAsia"/>
        </w:rPr>
        <w:t>投标人编写的投标文件应包括下列部分：</w:t>
      </w:r>
    </w:p>
    <w:p>
      <w:pPr>
        <w:pStyle w:val="61"/>
      </w:pPr>
      <w:r>
        <w:t>3.2.</w:t>
      </w:r>
      <w:r>
        <w:rPr>
          <w:rFonts w:hint="eastAsia"/>
        </w:rPr>
        <w:t>1</w:t>
      </w:r>
      <w:r>
        <w:rPr>
          <w:rFonts w:hint="eastAsia" w:hAnsi="宋体"/>
        </w:rPr>
        <w:t>资格证明文件：</w:t>
      </w:r>
      <w:r>
        <w:rPr>
          <w:rFonts w:hint="eastAsia"/>
        </w:rPr>
        <w:t>详见投标人须知前附表3.3.1</w:t>
      </w:r>
    </w:p>
    <w:p>
      <w:pPr>
        <w:pStyle w:val="61"/>
      </w:pPr>
      <w:r>
        <w:t>3.2.</w:t>
      </w:r>
      <w:r>
        <w:rPr>
          <w:rFonts w:hint="eastAsia"/>
        </w:rPr>
        <w:t>2技术投标文件：详见投标人须知前附表3.3.2</w:t>
      </w:r>
    </w:p>
    <w:p>
      <w:pPr>
        <w:pStyle w:val="61"/>
        <w:rPr>
          <w:rFonts w:hint="eastAsia"/>
        </w:rPr>
      </w:pPr>
      <w:r>
        <w:t>3.2.</w:t>
      </w:r>
      <w:r>
        <w:rPr>
          <w:rFonts w:hint="eastAsia"/>
        </w:rPr>
        <w:t>3商务投标文件：详见投标人须知前附表3.3.3</w:t>
      </w:r>
    </w:p>
    <w:p>
      <w:pPr>
        <w:pStyle w:val="61"/>
        <w:rPr>
          <w:rFonts w:hint="eastAsia"/>
        </w:rPr>
      </w:pPr>
      <w:r>
        <w:rPr>
          <w:rFonts w:hint="eastAsia"/>
        </w:rPr>
        <w:t>3.2.4电子版投标文件：详见投标人须知前附表3.4</w:t>
      </w:r>
    </w:p>
    <w:p>
      <w:pPr>
        <w:pStyle w:val="61"/>
        <w:ind w:firstLine="422"/>
        <w:rPr>
          <w:b/>
        </w:rPr>
      </w:pPr>
      <w:r>
        <w:rPr>
          <w:b/>
        </w:rPr>
        <w:t xml:space="preserve">3.3 </w:t>
      </w:r>
      <w:r>
        <w:rPr>
          <w:rFonts w:hint="eastAsia"/>
          <w:b/>
        </w:rPr>
        <w:t>投标文件的编写</w:t>
      </w:r>
      <w:bookmarkEnd w:id="141"/>
      <w:bookmarkEnd w:id="142"/>
      <w:bookmarkEnd w:id="143"/>
      <w:bookmarkEnd w:id="144"/>
      <w:r>
        <w:rPr>
          <w:b/>
        </w:rPr>
        <w:t xml:space="preserve">  </w:t>
      </w:r>
    </w:p>
    <w:p>
      <w:pPr>
        <w:pStyle w:val="61"/>
      </w:pPr>
      <w:r>
        <w:rPr>
          <w:rFonts w:hint="eastAsia"/>
        </w:rPr>
        <w:t>投标人应该按照第四章投标文件格式完整地填写投标书、开标一览表以及招标文件中规定的其它内容。</w:t>
      </w:r>
    </w:p>
    <w:p>
      <w:pPr>
        <w:pStyle w:val="61"/>
        <w:ind w:firstLine="422"/>
        <w:rPr>
          <w:b/>
        </w:rPr>
      </w:pPr>
      <w:bookmarkStart w:id="167" w:name="_Toc310252612"/>
      <w:bookmarkStart w:id="168" w:name="_Toc340061553"/>
      <w:bookmarkStart w:id="169" w:name="_Toc340108779"/>
      <w:bookmarkStart w:id="170" w:name="_Toc310252813"/>
      <w:r>
        <w:rPr>
          <w:b/>
        </w:rPr>
        <w:t xml:space="preserve">3.4 </w:t>
      </w:r>
      <w:r>
        <w:rPr>
          <w:rFonts w:hint="eastAsia"/>
          <w:b/>
        </w:rPr>
        <w:t>投标价格</w:t>
      </w:r>
      <w:bookmarkEnd w:id="167"/>
      <w:bookmarkEnd w:id="168"/>
      <w:bookmarkEnd w:id="169"/>
      <w:bookmarkEnd w:id="170"/>
    </w:p>
    <w:p>
      <w:pPr>
        <w:pStyle w:val="61"/>
        <w:rPr>
          <w:rFonts w:hint="eastAsia"/>
        </w:rPr>
      </w:pPr>
      <w:bookmarkStart w:id="171" w:name="_Toc340061554"/>
      <w:bookmarkStart w:id="172" w:name="_Toc310252613"/>
      <w:bookmarkStart w:id="173" w:name="_Toc310252814"/>
      <w:bookmarkStart w:id="174" w:name="_Toc340108780"/>
      <w:r>
        <w:t>3.4.1</w:t>
      </w:r>
      <w:r>
        <w:rPr>
          <w:rFonts w:hint="eastAsia" w:hAnsi="宋体"/>
        </w:rPr>
        <w:t>投标人应按照招标文件所附的投标报价表格式填写投标报价。</w:t>
      </w:r>
    </w:p>
    <w:p>
      <w:pPr>
        <w:pStyle w:val="61"/>
      </w:pPr>
      <w:r>
        <w:t>3.4.2</w:t>
      </w:r>
      <w:r>
        <w:rPr>
          <w:rFonts w:hint="eastAsia" w:hAnsi="宋体"/>
        </w:rPr>
        <w:t>投标报价：详见附件3。</w:t>
      </w:r>
    </w:p>
    <w:p>
      <w:pPr>
        <w:pStyle w:val="61"/>
        <w:rPr>
          <w:rFonts w:hint="eastAsia"/>
        </w:rPr>
      </w:pPr>
      <w:r>
        <w:t>3.4.3</w:t>
      </w:r>
      <w:r>
        <w:rPr>
          <w:rFonts w:hint="eastAsia"/>
        </w:rPr>
        <w:t>本次招标不接受具有附加条件的报价。</w:t>
      </w:r>
    </w:p>
    <w:p>
      <w:pPr>
        <w:pStyle w:val="61"/>
        <w:ind w:firstLine="422"/>
        <w:rPr>
          <w:b/>
        </w:rPr>
      </w:pPr>
      <w:r>
        <w:rPr>
          <w:b/>
        </w:rPr>
        <w:t xml:space="preserve">3.5 </w:t>
      </w:r>
      <w:r>
        <w:rPr>
          <w:rFonts w:hint="eastAsia"/>
          <w:b/>
        </w:rPr>
        <w:t>投标货币</w:t>
      </w:r>
      <w:bookmarkEnd w:id="171"/>
      <w:bookmarkEnd w:id="172"/>
      <w:bookmarkEnd w:id="173"/>
      <w:bookmarkEnd w:id="174"/>
      <w:r>
        <w:rPr>
          <w:b/>
        </w:rPr>
        <w:t xml:space="preserve"> </w:t>
      </w:r>
    </w:p>
    <w:p>
      <w:pPr>
        <w:pStyle w:val="61"/>
      </w:pPr>
      <w:r>
        <w:rPr>
          <w:rFonts w:hint="eastAsia"/>
        </w:rPr>
        <w:t>除非投标人须知前附表另有规定或许可，投标人必须用人民币报价。</w:t>
      </w:r>
    </w:p>
    <w:p>
      <w:pPr>
        <w:pStyle w:val="61"/>
        <w:rPr>
          <w:b/>
        </w:rPr>
      </w:pPr>
      <w:bookmarkStart w:id="175" w:name="_Toc310252815"/>
      <w:bookmarkStart w:id="176" w:name="_Toc340061555"/>
      <w:bookmarkStart w:id="177" w:name="_Toc310252614"/>
      <w:bookmarkStart w:id="178" w:name="_Toc340108781"/>
      <w:r>
        <w:rPr>
          <w:rFonts w:hint="eastAsia"/>
        </w:rPr>
        <w:t>*</w:t>
      </w:r>
      <w:r>
        <w:rPr>
          <w:b/>
        </w:rPr>
        <w:t xml:space="preserve">3.6 </w:t>
      </w:r>
      <w:r>
        <w:rPr>
          <w:rFonts w:hint="eastAsia"/>
          <w:b/>
        </w:rPr>
        <w:t>证明投标人合格资格的文件</w:t>
      </w:r>
      <w:bookmarkEnd w:id="175"/>
      <w:bookmarkEnd w:id="176"/>
      <w:bookmarkEnd w:id="177"/>
      <w:bookmarkEnd w:id="178"/>
    </w:p>
    <w:p>
      <w:pPr>
        <w:pStyle w:val="61"/>
      </w:pPr>
      <w:r>
        <w:rPr>
          <w:rFonts w:hint="eastAsia"/>
        </w:rPr>
        <w:t>投标人应提交证明其有资格参加投标和中标后有能力履行合同的文件，并作为其投标文件的一部分。</w:t>
      </w:r>
    </w:p>
    <w:p>
      <w:pPr>
        <w:pStyle w:val="61"/>
        <w:rPr>
          <w:b/>
        </w:rPr>
      </w:pPr>
      <w:bookmarkStart w:id="179" w:name="_Toc310252816"/>
      <w:bookmarkStart w:id="180" w:name="_Toc340061556"/>
      <w:bookmarkStart w:id="181" w:name="_Toc340108782"/>
      <w:bookmarkStart w:id="182" w:name="_Toc310252615"/>
      <w:r>
        <w:rPr>
          <w:rFonts w:hint="eastAsia"/>
        </w:rPr>
        <w:t>*</w:t>
      </w:r>
      <w:r>
        <w:rPr>
          <w:b/>
        </w:rPr>
        <w:t xml:space="preserve">3.7 </w:t>
      </w:r>
      <w:r>
        <w:rPr>
          <w:rFonts w:hint="eastAsia"/>
          <w:b/>
        </w:rPr>
        <w:t>证明产品的合格性和符合招标文件规定的文件</w:t>
      </w:r>
      <w:bookmarkEnd w:id="179"/>
      <w:bookmarkEnd w:id="180"/>
      <w:bookmarkEnd w:id="181"/>
      <w:bookmarkEnd w:id="182"/>
      <w:r>
        <w:rPr>
          <w:b/>
        </w:rPr>
        <w:t xml:space="preserve"> </w:t>
      </w:r>
    </w:p>
    <w:p>
      <w:pPr>
        <w:pStyle w:val="61"/>
      </w:pPr>
      <w:r>
        <w:rPr>
          <w:rFonts w:hint="eastAsia"/>
        </w:rPr>
        <w:t>投标人应提交证明文件，证明其投标的产品和服务的合格性符合招标文件规定。该证明文件作为投标文件的一部分。</w:t>
      </w:r>
    </w:p>
    <w:p>
      <w:pPr>
        <w:pStyle w:val="61"/>
        <w:ind w:firstLine="422"/>
        <w:rPr>
          <w:b/>
        </w:rPr>
      </w:pPr>
      <w:bookmarkStart w:id="183" w:name="_Toc310252616"/>
      <w:bookmarkStart w:id="184" w:name="_Toc310252817"/>
      <w:bookmarkStart w:id="185" w:name="_Toc340061557"/>
      <w:bookmarkStart w:id="186" w:name="_Toc340108783"/>
      <w:r>
        <w:rPr>
          <w:b/>
        </w:rPr>
        <w:t xml:space="preserve">3.8 </w:t>
      </w:r>
      <w:r>
        <w:rPr>
          <w:rFonts w:hint="eastAsia"/>
          <w:b/>
        </w:rPr>
        <w:t>投标保证金</w:t>
      </w:r>
      <w:bookmarkEnd w:id="183"/>
      <w:bookmarkEnd w:id="184"/>
      <w:bookmarkEnd w:id="185"/>
      <w:bookmarkEnd w:id="186"/>
    </w:p>
    <w:p>
      <w:pPr>
        <w:pStyle w:val="61"/>
      </w:pPr>
      <w:r>
        <w:t xml:space="preserve">3.8.1 </w:t>
      </w:r>
      <w:r>
        <w:rPr>
          <w:rFonts w:hint="eastAsia"/>
        </w:rPr>
        <w:t>投标人应按招标公告中的要求提交投标保证金作为其投标的一部分。</w:t>
      </w:r>
    </w:p>
    <w:p>
      <w:pPr>
        <w:pStyle w:val="61"/>
      </w:pPr>
      <w:r>
        <w:t xml:space="preserve">3.8.2 </w:t>
      </w:r>
      <w:r>
        <w:rPr>
          <w:rFonts w:hint="eastAsia"/>
        </w:rPr>
        <w:t>当发生本章第</w:t>
      </w:r>
      <w:r>
        <w:t>3.8.5</w:t>
      </w:r>
      <w:r>
        <w:rPr>
          <w:rFonts w:hint="eastAsia"/>
        </w:rPr>
        <w:t>款规定的任一情形时，投标保证金不予退还。</w:t>
      </w:r>
    </w:p>
    <w:p>
      <w:pPr>
        <w:spacing w:line="360" w:lineRule="auto"/>
        <w:ind w:firstLine="420" w:firstLineChars="200"/>
        <w:contextualSpacing/>
        <w:rPr>
          <w:rFonts w:ascii="Times New Roman"/>
          <w:kern w:val="2"/>
          <w:szCs w:val="21"/>
        </w:rPr>
      </w:pPr>
      <w:r>
        <w:rPr>
          <w:rFonts w:ascii="Times New Roman"/>
          <w:szCs w:val="21"/>
        </w:rPr>
        <w:t>3.8.3</w:t>
      </w:r>
      <w:r>
        <w:t xml:space="preserve"> </w:t>
      </w:r>
      <w:r>
        <w:rPr>
          <w:rFonts w:hint="eastAsia"/>
        </w:rPr>
        <w:t>投标保证金应用人民币。</w:t>
      </w:r>
    </w:p>
    <w:p>
      <w:pPr>
        <w:pStyle w:val="61"/>
        <w:rPr>
          <w:rFonts w:hint="eastAsia"/>
          <w:b/>
          <w:color w:val="FF0000"/>
        </w:rPr>
      </w:pPr>
      <w:r>
        <w:rPr>
          <w:rFonts w:hint="eastAsia"/>
        </w:rPr>
        <w:t>*</w:t>
      </w:r>
      <w:r>
        <w:t xml:space="preserve">3.8.4 </w:t>
      </w:r>
      <w:r>
        <w:rPr>
          <w:rFonts w:hint="eastAsia"/>
          <w:b/>
        </w:rPr>
        <w:t>任何未按本章第</w:t>
      </w:r>
      <w:r>
        <w:rPr>
          <w:b/>
        </w:rPr>
        <w:t>3.8.1</w:t>
      </w:r>
      <w:r>
        <w:rPr>
          <w:rFonts w:hint="eastAsia"/>
          <w:b/>
        </w:rPr>
        <w:t>和第</w:t>
      </w:r>
      <w:r>
        <w:rPr>
          <w:b/>
        </w:rPr>
        <w:t>3.8.3</w:t>
      </w:r>
      <w:r>
        <w:rPr>
          <w:rFonts w:hint="eastAsia"/>
          <w:b/>
        </w:rPr>
        <w:t>款规定提交投标保证金的投标，将被视为非响应性投标予以拒绝。</w:t>
      </w:r>
    </w:p>
    <w:p>
      <w:pPr>
        <w:pStyle w:val="61"/>
      </w:pPr>
      <w:r>
        <w:t xml:space="preserve">3.8.5 </w:t>
      </w:r>
      <w:r>
        <w:rPr>
          <w:rFonts w:hint="eastAsia"/>
        </w:rPr>
        <w:t>发生以下情况投标保证金均将不退还：</w:t>
      </w:r>
    </w:p>
    <w:p>
      <w:pPr>
        <w:pStyle w:val="61"/>
      </w:pPr>
      <w:r>
        <w:rPr>
          <w:rFonts w:hint="eastAsia"/>
        </w:rPr>
        <w:t>（</w:t>
      </w:r>
      <w:r>
        <w:t>1</w:t>
      </w:r>
      <w:r>
        <w:rPr>
          <w:rFonts w:hint="eastAsia"/>
        </w:rPr>
        <w:t>）如果投标人在本章第</w:t>
      </w:r>
      <w:r>
        <w:t>3.</w:t>
      </w:r>
      <w:r>
        <w:rPr>
          <w:rFonts w:hint="eastAsia"/>
        </w:rPr>
        <w:t>9款规定的投标有效期内撤回投标；</w:t>
      </w:r>
    </w:p>
    <w:p>
      <w:pPr>
        <w:pStyle w:val="61"/>
        <w:rPr>
          <w:rFonts w:hint="eastAsia"/>
        </w:rPr>
      </w:pPr>
      <w:r>
        <w:rPr>
          <w:rFonts w:hint="eastAsia"/>
        </w:rPr>
        <w:t>（</w:t>
      </w:r>
      <w:r>
        <w:t>2</w:t>
      </w:r>
      <w:r>
        <w:rPr>
          <w:rFonts w:hint="eastAsia"/>
        </w:rPr>
        <w:t>）投标人在投标过程中提供虚假资料、隐瞒事实等行为时；</w:t>
      </w:r>
    </w:p>
    <w:p>
      <w:pPr>
        <w:pStyle w:val="61"/>
      </w:pPr>
      <w:r>
        <w:rPr>
          <w:rFonts w:hint="eastAsia"/>
        </w:rPr>
        <w:t>（3）中标人无正当理由拒不与招标人签订合同。</w:t>
      </w:r>
    </w:p>
    <w:p>
      <w:pPr>
        <w:pStyle w:val="61"/>
        <w:ind w:firstLine="422"/>
        <w:rPr>
          <w:b/>
        </w:rPr>
      </w:pPr>
      <w:bookmarkStart w:id="187" w:name="_Toc340061558"/>
      <w:bookmarkStart w:id="188" w:name="_Toc310252617"/>
      <w:bookmarkStart w:id="189" w:name="_Toc310252818"/>
      <w:bookmarkStart w:id="190" w:name="_Toc340108784"/>
      <w:r>
        <w:rPr>
          <w:b/>
        </w:rPr>
        <w:t xml:space="preserve">3.9 </w:t>
      </w:r>
      <w:r>
        <w:rPr>
          <w:rFonts w:hint="eastAsia"/>
          <w:b/>
        </w:rPr>
        <w:t>投标有效期</w:t>
      </w:r>
      <w:bookmarkEnd w:id="187"/>
      <w:bookmarkEnd w:id="188"/>
      <w:bookmarkEnd w:id="189"/>
      <w:bookmarkEnd w:id="190"/>
    </w:p>
    <w:p>
      <w:pPr>
        <w:pStyle w:val="61"/>
      </w:pPr>
      <w:r>
        <w:t>3.9.1</w:t>
      </w:r>
      <w:r>
        <w:rPr>
          <w:rFonts w:hint="eastAsia"/>
        </w:rPr>
        <w:t>投标应自投标人须知前附表中规定的开标日起，并在投标人须知前附表中所述期限内保持有效。投标有效期不足的投标将被视为非响应性投标而予以拒绝。</w:t>
      </w:r>
    </w:p>
    <w:p>
      <w:pPr>
        <w:pStyle w:val="61"/>
      </w:pPr>
      <w:r>
        <w:t xml:space="preserve">3.9.2 </w:t>
      </w:r>
      <w:r>
        <w:rPr>
          <w:rFonts w:hint="eastAsia"/>
        </w:rPr>
        <w:t>特殊情况下，在原投标有效期截止之前，招标人或招标机构可要求投标人延长投标有效期。这种要求与答复均应以电子版形式提交。投标人可拒绝招标人或招标机构的这种要求，其投标保证金将退还，但其投标在原投标有效期期满后将不再有效。同意延长投标有效期的投标人将不会被要求和允许修正其投标，而只会被要求相应地延长其投标保证金的有效期。在这种情况下，本章第</w:t>
      </w:r>
      <w:r>
        <w:t>3.8.5</w:t>
      </w:r>
      <w:r>
        <w:rPr>
          <w:rFonts w:hint="eastAsia"/>
        </w:rPr>
        <w:t>款有关投标保证金的规定将在延长了的有效期内继续有效。</w:t>
      </w:r>
    </w:p>
    <w:p>
      <w:pPr>
        <w:pStyle w:val="61"/>
        <w:ind w:firstLine="422"/>
        <w:rPr>
          <w:b/>
        </w:rPr>
      </w:pPr>
      <w:bookmarkStart w:id="191" w:name="_Toc309246692"/>
      <w:bookmarkStart w:id="192" w:name="_Toc309305537"/>
      <w:bookmarkStart w:id="193" w:name="_Toc309246824"/>
      <w:bookmarkStart w:id="194" w:name="_Toc340061565"/>
      <w:bookmarkStart w:id="195" w:name="_Toc363128939"/>
      <w:bookmarkStart w:id="196" w:name="_Toc340513867"/>
      <w:bookmarkStart w:id="197" w:name="_Toc363125345"/>
      <w:bookmarkStart w:id="198" w:name="_Toc363454538"/>
      <w:bookmarkStart w:id="199" w:name="_Toc340138060"/>
      <w:bookmarkStart w:id="200" w:name="_Toc307924153"/>
      <w:bookmarkStart w:id="201" w:name="_Toc340108791"/>
      <w:bookmarkStart w:id="202" w:name="_Toc310252825"/>
      <w:bookmarkStart w:id="203" w:name="_Toc363127799"/>
      <w:bookmarkStart w:id="204" w:name="_Toc363059649"/>
      <w:bookmarkStart w:id="205" w:name="_Toc340424159"/>
      <w:bookmarkStart w:id="206" w:name="_Toc363134237"/>
      <w:r>
        <w:rPr>
          <w:rFonts w:hint="eastAsia"/>
          <w:b/>
        </w:rPr>
        <w:t>3.10 投标文件的</w:t>
      </w:r>
      <w:bookmarkEnd w:id="191"/>
      <w:bookmarkEnd w:id="192"/>
      <w:bookmarkEnd w:id="193"/>
      <w:r>
        <w:rPr>
          <w:rFonts w:hint="eastAsia"/>
          <w:b/>
        </w:rPr>
        <w:t>格式</w:t>
      </w:r>
    </w:p>
    <w:p>
      <w:pPr>
        <w:pStyle w:val="61"/>
        <w:rPr>
          <w:rFonts w:hint="eastAsia"/>
        </w:rPr>
      </w:pPr>
      <w:r>
        <w:t>3.</w:t>
      </w:r>
      <w:r>
        <w:rPr>
          <w:rFonts w:hint="eastAsia"/>
        </w:rPr>
        <w:t>10</w:t>
      </w:r>
      <w:r>
        <w:t>.1</w:t>
      </w:r>
      <w:r>
        <w:rPr>
          <w:rFonts w:hint="eastAsia"/>
        </w:rPr>
        <w:t>投标人应准备一份电子投标文件。电子投标文件必须经投标人单位</w:t>
      </w:r>
      <w:r>
        <w:t>CA</w:t>
      </w:r>
      <w:r>
        <w:rPr>
          <w:rFonts w:hint="eastAsia"/>
        </w:rPr>
        <w:t>签名，同时经招标人</w:t>
      </w:r>
      <w:r>
        <w:t>CA</w:t>
      </w:r>
      <w:r>
        <w:rPr>
          <w:rFonts w:hint="eastAsia"/>
        </w:rPr>
        <w:t>公钥进行加密。电子投标文件必须经招标人发放的投标客户端进行编制，并用客户端软件进行电子投标文件的数字加密，以加密文件的格式（文件格式为</w:t>
      </w:r>
      <w:r>
        <w:t>.p7b</w:t>
      </w:r>
      <w:r>
        <w:rPr>
          <w:rFonts w:hint="eastAsia"/>
        </w:rPr>
        <w:t>）上传递交。</w:t>
      </w:r>
    </w:p>
    <w:p>
      <w:pPr>
        <w:pStyle w:val="61"/>
      </w:pPr>
      <w:r>
        <w:t>3.</w:t>
      </w:r>
      <w:r>
        <w:rPr>
          <w:rFonts w:hint="eastAsia"/>
        </w:rPr>
        <w:t>10.</w:t>
      </w:r>
      <w:r>
        <w:t>2</w:t>
      </w:r>
      <w:r>
        <w:rPr>
          <w:rFonts w:hint="eastAsia"/>
        </w:rPr>
        <w:t>授权代表人进行投标事项的办理，根据电子招标投标办法的规范，投标文件不再需要授权代表人进行手写签名，采用企业单位证书进行</w:t>
      </w:r>
      <w:r>
        <w:t>CA</w:t>
      </w:r>
      <w:r>
        <w:rPr>
          <w:rFonts w:hint="eastAsia"/>
        </w:rPr>
        <w:t>数字签名以进行身份确认。投标人只须采用招标人发放的投标客户端进行编制，并用客户端软件进行电子投标文件的生成，客户端将会读取投标人的单位证书进行</w:t>
      </w:r>
      <w:r>
        <w:t>CA</w:t>
      </w:r>
      <w:r>
        <w:rPr>
          <w:rFonts w:hint="eastAsia"/>
        </w:rPr>
        <w:t>数字签名。</w:t>
      </w:r>
    </w:p>
    <w:p>
      <w:pPr>
        <w:pStyle w:val="61"/>
        <w:rPr>
          <w:rFonts w:hint="eastAsia"/>
        </w:rPr>
      </w:pPr>
      <w:r>
        <w:rPr>
          <w:rFonts w:hint="eastAsia"/>
        </w:rPr>
        <w:t>制造商资格声明、银行保函格式等除投标人之外的需要第三方的签字盖章要求的仍保留原来样式。可以要求投标人在投标文件正文中上传签字或盖章后的扫描件文本。</w:t>
      </w:r>
    </w:p>
    <w:p>
      <w:pPr>
        <w:pStyle w:val="61"/>
      </w:pPr>
      <w:r>
        <w:rPr>
          <w:rFonts w:hint="eastAsia" w:hAnsi="宋体"/>
          <w:kern w:val="2"/>
        </w:rPr>
        <w:t xml:space="preserve">投标人需要依照招标文件第四章要求在投标文件中规定的位置签字、盖章。  </w:t>
      </w:r>
    </w:p>
    <w:p>
      <w:pPr>
        <w:pStyle w:val="4"/>
        <w:ind w:firstLine="422" w:firstLineChars="200"/>
        <w:jc w:val="both"/>
        <w:rPr>
          <w:rFonts w:ascii="宋体" w:hAnsi="宋体"/>
          <w:kern w:val="2"/>
          <w:sz w:val="21"/>
          <w:szCs w:val="21"/>
        </w:rPr>
      </w:pPr>
      <w:bookmarkStart w:id="207" w:name="_Toc309246693"/>
      <w:bookmarkStart w:id="208" w:name="_Toc309305538"/>
      <w:bookmarkStart w:id="209" w:name="_Toc16624"/>
      <w:r>
        <w:rPr>
          <w:rFonts w:hint="eastAsia" w:ascii="宋体" w:hAnsi="宋体"/>
          <w:kern w:val="2"/>
          <w:sz w:val="21"/>
          <w:szCs w:val="21"/>
        </w:rPr>
        <w:t>4.投标</w:t>
      </w:r>
      <w:bookmarkEnd w:id="207"/>
      <w:bookmarkEnd w:id="208"/>
      <w:bookmarkEnd w:id="209"/>
    </w:p>
    <w:p>
      <w:pPr>
        <w:pStyle w:val="61"/>
        <w:ind w:firstLine="422"/>
        <w:rPr>
          <w:rFonts w:hint="eastAsia"/>
          <w:b/>
        </w:rPr>
      </w:pPr>
      <w:bookmarkStart w:id="210" w:name="_Toc309246694"/>
      <w:bookmarkStart w:id="211" w:name="_Toc309246826"/>
      <w:bookmarkStart w:id="212" w:name="_Toc309305539"/>
      <w:r>
        <w:rPr>
          <w:rFonts w:hint="eastAsia"/>
          <w:b/>
        </w:rPr>
        <w:t>4.1 投标文件的密封和标记</w:t>
      </w:r>
      <w:bookmarkEnd w:id="210"/>
      <w:bookmarkEnd w:id="211"/>
      <w:bookmarkEnd w:id="212"/>
    </w:p>
    <w:p>
      <w:pPr>
        <w:spacing w:line="400" w:lineRule="exact"/>
        <w:ind w:firstLine="359" w:firstLineChars="171"/>
        <w:rPr>
          <w:rFonts w:hint="eastAsia" w:hAnsi="宋体"/>
          <w:szCs w:val="21"/>
        </w:rPr>
      </w:pPr>
      <w:bookmarkStart w:id="213" w:name="OLE_LINK3"/>
      <w:r>
        <w:rPr>
          <w:rFonts w:hint="eastAsia" w:hAnsi="宋体"/>
          <w:szCs w:val="21"/>
        </w:rPr>
        <w:t>投标人应该按照第四章投标文件格式以及用下载的招标文件格式化数据项要求完整地填写投标书、开标一览表、投标分项报价表以及招标文件中规定的其它内容。</w:t>
      </w:r>
      <w:bookmarkEnd w:id="213"/>
    </w:p>
    <w:p>
      <w:pPr>
        <w:spacing w:line="400" w:lineRule="exact"/>
        <w:ind w:firstLine="359" w:firstLineChars="171"/>
      </w:pPr>
      <w:r>
        <w:rPr>
          <w:rFonts w:hint="eastAsia"/>
        </w:rPr>
        <w:t>投标人应当按照招标文件和中国石油招标投标网的要求编制并加密电子投标文件。投标人未按规定加密的电子投标文件，中国石油招标投标网不予接收。</w:t>
      </w:r>
    </w:p>
    <w:p>
      <w:pPr>
        <w:pStyle w:val="61"/>
        <w:ind w:firstLine="422"/>
        <w:rPr>
          <w:b/>
        </w:rPr>
      </w:pPr>
      <w:bookmarkStart w:id="214" w:name="_Toc309305540"/>
      <w:bookmarkStart w:id="215" w:name="_Toc309246827"/>
      <w:bookmarkStart w:id="216" w:name="_Toc309246695"/>
      <w:r>
        <w:rPr>
          <w:rFonts w:hint="eastAsia"/>
          <w:b/>
        </w:rPr>
        <w:t>4.2 投标文件的递交</w:t>
      </w:r>
      <w:bookmarkEnd w:id="214"/>
      <w:bookmarkEnd w:id="215"/>
      <w:bookmarkEnd w:id="216"/>
    </w:p>
    <w:p>
      <w:pPr>
        <w:pStyle w:val="61"/>
        <w:rPr>
          <w:rFonts w:hint="eastAsia"/>
        </w:rPr>
      </w:pPr>
      <w:r>
        <w:t xml:space="preserve">4.2.1 </w:t>
      </w:r>
      <w:r>
        <w:rPr>
          <w:rFonts w:hint="eastAsia"/>
        </w:rPr>
        <w:t>投标人应按前附表规定的投标截止时间递交合格的投标文件。</w:t>
      </w:r>
    </w:p>
    <w:p>
      <w:pPr>
        <w:pStyle w:val="61"/>
        <w:rPr>
          <w:rFonts w:cs="仿宋_GB2312"/>
        </w:rPr>
      </w:pPr>
      <w:r>
        <w:t xml:space="preserve">4.2.2 </w:t>
      </w:r>
      <w:r>
        <w:rPr>
          <w:rFonts w:hint="eastAsia" w:cs="仿宋_GB2312"/>
        </w:rPr>
        <w:t>投标人递交投标文件的地点：见投标人须知前附表。</w:t>
      </w:r>
    </w:p>
    <w:p>
      <w:pPr>
        <w:pStyle w:val="61"/>
        <w:rPr>
          <w:rFonts w:cs="仿宋_GB2312"/>
        </w:rPr>
      </w:pPr>
      <w:r>
        <w:t xml:space="preserve">4.2.3 </w:t>
      </w:r>
      <w:r>
        <w:rPr>
          <w:rFonts w:hint="eastAsia" w:cs="仿宋_GB2312"/>
        </w:rPr>
        <w:t>除投标人须知前附表另有规定外，投标人所递交的投标文件不予退还。</w:t>
      </w:r>
    </w:p>
    <w:p>
      <w:pPr>
        <w:pStyle w:val="61"/>
        <w:rPr>
          <w:rFonts w:cs="仿宋_GB2312"/>
        </w:rPr>
      </w:pPr>
      <w:r>
        <w:t xml:space="preserve">4.2.4 </w:t>
      </w:r>
      <w:r>
        <w:rPr>
          <w:rFonts w:hint="eastAsia" w:cs="仿宋_GB2312"/>
        </w:rPr>
        <w:t>招标人收到投标文件后，向投标人出具签收凭证。</w:t>
      </w:r>
    </w:p>
    <w:p>
      <w:pPr>
        <w:pStyle w:val="61"/>
        <w:rPr>
          <w:rFonts w:cs="仿宋_GB2312"/>
        </w:rPr>
      </w:pPr>
      <w:r>
        <w:t xml:space="preserve">4.2.5 </w:t>
      </w:r>
      <w:r>
        <w:rPr>
          <w:rFonts w:hint="eastAsia" w:cs="仿宋_GB2312"/>
        </w:rPr>
        <w:t>逾期送达的或者未送达指定地点的投标文件，招标人不予受理。</w:t>
      </w:r>
    </w:p>
    <w:p>
      <w:pPr>
        <w:pStyle w:val="61"/>
        <w:ind w:firstLine="422"/>
        <w:rPr>
          <w:b/>
        </w:rPr>
      </w:pPr>
      <w:bookmarkStart w:id="217" w:name="_Toc309246696"/>
      <w:bookmarkStart w:id="218" w:name="_Toc309305541"/>
      <w:bookmarkStart w:id="219" w:name="_Toc309246828"/>
      <w:r>
        <w:rPr>
          <w:rFonts w:hint="eastAsia"/>
          <w:b/>
        </w:rPr>
        <w:t>4.3 投标文件的修改与撤回</w:t>
      </w:r>
      <w:bookmarkEnd w:id="217"/>
      <w:bookmarkEnd w:id="218"/>
      <w:bookmarkEnd w:id="219"/>
    </w:p>
    <w:p>
      <w:pPr>
        <w:pStyle w:val="61"/>
        <w:rPr>
          <w:rFonts w:hint="eastAsia"/>
        </w:rPr>
      </w:pPr>
      <w:r>
        <w:t>4.4.1</w:t>
      </w:r>
      <w:r>
        <w:rPr>
          <w:rFonts w:hint="eastAsia"/>
        </w:rPr>
        <w:t>投标人在投标文件递交以后，在规定的投标截止时间之前，可随时登陆中国石油招标投标网撤回投标文件。需要补充或修改投标文件时，必须先撤回投标文件，然后选择补充或修改后的部分重新上传，并确认递交，相应部分以最后递交的文件为准。</w:t>
      </w:r>
    </w:p>
    <w:p>
      <w:pPr>
        <w:pStyle w:val="61"/>
      </w:pPr>
      <w:r>
        <w:t xml:space="preserve">4.4.2 </w:t>
      </w:r>
      <w:r>
        <w:rPr>
          <w:rFonts w:hint="eastAsia"/>
        </w:rPr>
        <w:t>投标人修改文件仍须按第</w:t>
      </w:r>
      <w:r>
        <w:t>4.1</w:t>
      </w:r>
      <w:r>
        <w:rPr>
          <w:rFonts w:hint="eastAsia"/>
        </w:rPr>
        <w:t>款规定编制、加密、标记和递交。</w:t>
      </w:r>
    </w:p>
    <w:p>
      <w:pPr>
        <w:pStyle w:val="61"/>
      </w:pPr>
      <w:r>
        <w:t xml:space="preserve">4.4.3 </w:t>
      </w:r>
      <w:r>
        <w:rPr>
          <w:rFonts w:hint="eastAsia"/>
        </w:rPr>
        <w:t>投标人若在投标截止时起至本章第</w:t>
      </w:r>
      <w:r>
        <w:t>3.</w:t>
      </w:r>
      <w:r>
        <w:rPr>
          <w:rFonts w:hint="eastAsia"/>
        </w:rPr>
        <w:t>9条规定的投标有效期期满前撤销投标文件，则其投标保证金将被没收。</w:t>
      </w:r>
    </w:p>
    <w:p>
      <w:pPr>
        <w:pStyle w:val="4"/>
        <w:ind w:firstLine="413" w:firstLineChars="196"/>
        <w:jc w:val="both"/>
        <w:rPr>
          <w:rFonts w:ascii="宋体"/>
          <w:kern w:val="2"/>
          <w:sz w:val="21"/>
          <w:szCs w:val="21"/>
        </w:rPr>
      </w:pPr>
      <w:bookmarkStart w:id="220" w:name="_Toc25109"/>
      <w:r>
        <w:rPr>
          <w:rFonts w:ascii="宋体" w:hAnsi="宋体"/>
          <w:kern w:val="2"/>
          <w:sz w:val="21"/>
          <w:szCs w:val="21"/>
        </w:rPr>
        <w:t>5.</w:t>
      </w:r>
      <w:r>
        <w:rPr>
          <w:rFonts w:hint="eastAsia" w:ascii="宋体" w:hAnsi="宋体"/>
          <w:kern w:val="2"/>
          <w:sz w:val="21"/>
          <w:szCs w:val="21"/>
        </w:rPr>
        <w:t>开标</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20"/>
    </w:p>
    <w:p>
      <w:pPr>
        <w:pStyle w:val="61"/>
        <w:ind w:firstLine="422"/>
        <w:rPr>
          <w:rFonts w:hint="eastAsia"/>
          <w:b/>
        </w:rPr>
      </w:pPr>
      <w:bookmarkStart w:id="221" w:name="_Toc309246698"/>
      <w:bookmarkStart w:id="222" w:name="_Toc309305543"/>
      <w:bookmarkStart w:id="223" w:name="_Toc309246830"/>
      <w:bookmarkStart w:id="224" w:name="_Toc310252827"/>
      <w:bookmarkStart w:id="225" w:name="_Toc340061567"/>
      <w:bookmarkStart w:id="226" w:name="_Toc340108793"/>
      <w:bookmarkStart w:id="227" w:name="_Toc310252626"/>
      <w:r>
        <w:rPr>
          <w:rFonts w:hint="eastAsia"/>
          <w:b/>
        </w:rPr>
        <w:t>5.1 开标时间和地点</w:t>
      </w:r>
      <w:bookmarkEnd w:id="221"/>
      <w:bookmarkEnd w:id="222"/>
      <w:bookmarkEnd w:id="223"/>
    </w:p>
    <w:p>
      <w:pPr>
        <w:pStyle w:val="61"/>
        <w:rPr>
          <w:rFonts w:hint="eastAsia"/>
        </w:rPr>
      </w:pPr>
      <w:r>
        <w:rPr>
          <w:rFonts w:hint="eastAsia"/>
        </w:rPr>
        <w:t>招标人将按本须知前附表所规定的时间开标</w:t>
      </w:r>
      <w:r>
        <w:t xml:space="preserve"> </w:t>
      </w:r>
      <w:r>
        <w:rPr>
          <w:rFonts w:hint="eastAsia"/>
        </w:rPr>
        <w:t>，开标地点为</w:t>
      </w:r>
      <w:r>
        <w:rPr>
          <w:rFonts w:hint="eastAsia"/>
          <w:u w:val="single"/>
        </w:rPr>
        <w:t>见招标公告</w:t>
      </w:r>
      <w:r>
        <w:rPr>
          <w:rFonts w:hint="eastAsia"/>
        </w:rPr>
        <w:t>（</w:t>
      </w:r>
      <w:r>
        <w:rPr>
          <w:rFonts w:hint="eastAsia"/>
          <w:i/>
        </w:rPr>
        <w:t>或开标地点另行通知</w:t>
      </w:r>
      <w:r>
        <w:t>)</w:t>
      </w:r>
      <w:r>
        <w:rPr>
          <w:rFonts w:hint="eastAsia"/>
        </w:rPr>
        <w:t>，所有投</w:t>
      </w:r>
      <w:r>
        <w:t>5.1.1</w:t>
      </w:r>
      <w:r>
        <w:rPr>
          <w:rFonts w:hint="eastAsia"/>
        </w:rPr>
        <w:t>开标时间：</w:t>
      </w:r>
      <w:r>
        <w:rPr>
          <w:rFonts w:hint="eastAsia"/>
          <w:u w:val="single"/>
        </w:rPr>
        <w:t>见招标公告</w:t>
      </w:r>
      <w:r>
        <w:rPr>
          <w:rFonts w:hint="eastAsia"/>
        </w:rPr>
        <w:t>（同投标截止时间）</w:t>
      </w:r>
    </w:p>
    <w:p>
      <w:pPr>
        <w:pStyle w:val="61"/>
      </w:pPr>
      <w:r>
        <w:t>5.1.2</w:t>
      </w:r>
      <w:r>
        <w:rPr>
          <w:rFonts w:hint="eastAsia"/>
        </w:rPr>
        <w:t>现场开标地点：</w:t>
      </w:r>
      <w:r>
        <w:rPr>
          <w:rFonts w:hint="eastAsia"/>
          <w:u w:val="single"/>
        </w:rPr>
        <w:t>见招标公告</w:t>
      </w:r>
      <w:r>
        <w:rPr>
          <w:rFonts w:hint="eastAsia"/>
        </w:rPr>
        <w:t>（若组织现场开标场所，则有此项）</w:t>
      </w:r>
    </w:p>
    <w:p>
      <w:pPr>
        <w:pStyle w:val="61"/>
        <w:ind w:firstLine="422"/>
        <w:rPr>
          <w:b/>
        </w:rPr>
      </w:pPr>
      <w:bookmarkStart w:id="228" w:name="_Toc309246699"/>
      <w:bookmarkStart w:id="229" w:name="_Toc309305544"/>
      <w:bookmarkStart w:id="230" w:name="_Toc309246831"/>
      <w:r>
        <w:rPr>
          <w:rFonts w:hint="eastAsia"/>
          <w:b/>
        </w:rPr>
        <w:t>5.2 开标程序</w:t>
      </w:r>
      <w:bookmarkEnd w:id="228"/>
      <w:bookmarkEnd w:id="229"/>
      <w:bookmarkEnd w:id="230"/>
    </w:p>
    <w:p>
      <w:pPr>
        <w:pStyle w:val="61"/>
        <w:rPr>
          <w:rFonts w:hint="eastAsia"/>
        </w:rPr>
      </w:pPr>
      <w:r>
        <w:rPr>
          <w:rFonts w:hint="eastAsia"/>
        </w:rPr>
        <w:t>网上开标：中国石油招标投标网</w:t>
      </w:r>
    </w:p>
    <w:p>
      <w:pPr>
        <w:pStyle w:val="61"/>
      </w:pPr>
      <w:r>
        <w:t>1</w:t>
      </w:r>
      <w:r>
        <w:rPr>
          <w:rFonts w:hint="eastAsia"/>
        </w:rPr>
        <w:t>）若招标人组织现场开标，可邀请投标人至现场进行开标过程的参与和监督。</w:t>
      </w:r>
    </w:p>
    <w:p>
      <w:pPr>
        <w:pStyle w:val="61"/>
      </w:pPr>
      <w:r>
        <w:t>2</w:t>
      </w:r>
      <w:r>
        <w:rPr>
          <w:rFonts w:hint="eastAsia"/>
        </w:rPr>
        <w:t>）投标人可在开标时间前远程登录其所投项目的开标大厅，开标大厅将在项目开标时间前</w:t>
      </w:r>
      <w:r>
        <w:t>24</w:t>
      </w:r>
      <w:r>
        <w:rPr>
          <w:rFonts w:hint="eastAsia"/>
        </w:rPr>
        <w:t>小时开放给投标人登录。</w:t>
      </w:r>
    </w:p>
    <w:p>
      <w:pPr>
        <w:pStyle w:val="61"/>
      </w:pPr>
      <w:r>
        <w:t>3</w:t>
      </w:r>
      <w:r>
        <w:rPr>
          <w:rFonts w:hint="eastAsia"/>
        </w:rPr>
        <w:t>）开标大厅按项目设置，同一项目的多个标包在同一开标大厅进行开标。</w:t>
      </w:r>
    </w:p>
    <w:p>
      <w:pPr>
        <w:pStyle w:val="61"/>
      </w:pPr>
      <w:r>
        <w:t>4</w:t>
      </w:r>
      <w:r>
        <w:rPr>
          <w:rFonts w:hint="eastAsia"/>
        </w:rPr>
        <w:t>）投标人进入项目的开标大厅时需要进行数字签到，签到后可在开标大厅等待开标时间到达和开标主持人的操作。</w:t>
      </w:r>
    </w:p>
    <w:p>
      <w:pPr>
        <w:pStyle w:val="61"/>
      </w:pPr>
      <w:r>
        <w:t>5</w:t>
      </w:r>
      <w:r>
        <w:rPr>
          <w:rFonts w:hint="eastAsia"/>
        </w:rPr>
        <w:t>）开标时间到达后，开标主持人进行投标文件的解密操作。</w:t>
      </w:r>
    </w:p>
    <w:p>
      <w:pPr>
        <w:pStyle w:val="61"/>
      </w:pPr>
      <w:r>
        <w:t>6</w:t>
      </w:r>
      <w:r>
        <w:rPr>
          <w:rFonts w:hint="eastAsia"/>
        </w:rPr>
        <w:t>）若某一标包递交投标文件家数少于三家或者开标后成功解密的家数少于三家的，将终止该标包的开标。</w:t>
      </w:r>
    </w:p>
    <w:p>
      <w:pPr>
        <w:pStyle w:val="61"/>
      </w:pPr>
      <w:r>
        <w:t>7</w:t>
      </w:r>
      <w:r>
        <w:rPr>
          <w:rFonts w:hint="eastAsia"/>
        </w:rPr>
        <w:t>）投标人可在开标大厅观看到开标全过程，投标人对开标有异议可在线提出，解密完成后可下载开标一览表。</w:t>
      </w:r>
    </w:p>
    <w:p>
      <w:pPr>
        <w:pStyle w:val="61"/>
      </w:pPr>
      <w:r>
        <w:t>8</w:t>
      </w:r>
      <w:r>
        <w:rPr>
          <w:rFonts w:hint="eastAsia"/>
        </w:rPr>
        <w:t>）因投标人原因造成投标文件未解密成功的，视为撤销其投标文件；因投标人之外的原因造成投标文件未解密成功的，视为撤回其投标文件。部分投标文件未解密成功的，其他投标文件的开标可以继续进行。</w:t>
      </w:r>
    </w:p>
    <w:bookmarkEnd w:id="224"/>
    <w:bookmarkEnd w:id="225"/>
    <w:bookmarkEnd w:id="226"/>
    <w:bookmarkEnd w:id="227"/>
    <w:p>
      <w:pPr>
        <w:pStyle w:val="4"/>
        <w:ind w:firstLine="413" w:firstLineChars="196"/>
        <w:jc w:val="both"/>
        <w:rPr>
          <w:rFonts w:ascii="宋体" w:hAnsi="宋体"/>
          <w:kern w:val="2"/>
          <w:sz w:val="21"/>
          <w:szCs w:val="21"/>
        </w:rPr>
      </w:pPr>
      <w:bookmarkStart w:id="231" w:name="_Toc23334"/>
      <w:r>
        <w:rPr>
          <w:rFonts w:ascii="宋体" w:hAnsi="宋体"/>
          <w:kern w:val="2"/>
          <w:sz w:val="21"/>
          <w:szCs w:val="21"/>
        </w:rPr>
        <w:t>6.</w:t>
      </w:r>
      <w:r>
        <w:rPr>
          <w:rFonts w:hint="eastAsia" w:ascii="宋体" w:hAnsi="宋体"/>
          <w:kern w:val="2"/>
          <w:sz w:val="21"/>
          <w:szCs w:val="21"/>
        </w:rPr>
        <w:t>评标</w:t>
      </w:r>
      <w:bookmarkEnd w:id="231"/>
    </w:p>
    <w:p>
      <w:pPr>
        <w:spacing w:line="360" w:lineRule="auto"/>
        <w:ind w:firstLine="422"/>
        <w:rPr>
          <w:b/>
          <w:bCs/>
          <w:color w:val="FF0000"/>
          <w:szCs w:val="21"/>
          <w:highlight w:val="yellow"/>
        </w:rPr>
      </w:pPr>
      <w:r>
        <w:rPr>
          <w:b/>
          <w:bCs/>
          <w:szCs w:val="21"/>
        </w:rPr>
        <w:t xml:space="preserve">6.1 </w:t>
      </w:r>
      <w:r>
        <w:rPr>
          <w:rFonts w:hint="eastAsia" w:cs="宋体"/>
          <w:b/>
          <w:bCs/>
          <w:szCs w:val="21"/>
          <w:lang w:val="zh-CN"/>
        </w:rPr>
        <w:t>评标委员会</w:t>
      </w:r>
    </w:p>
    <w:p>
      <w:pPr>
        <w:spacing w:line="360" w:lineRule="auto"/>
        <w:ind w:firstLine="420"/>
        <w:rPr>
          <w:rFonts w:hint="eastAsia" w:cs="宋体"/>
          <w:szCs w:val="21"/>
          <w:lang w:val="zh-CN"/>
        </w:rPr>
      </w:pPr>
      <w:r>
        <w:rPr>
          <w:szCs w:val="21"/>
        </w:rPr>
        <w:t xml:space="preserve">6.1.1 </w:t>
      </w:r>
      <w:r>
        <w:rPr>
          <w:rFonts w:hint="eastAsia" w:cs="宋体"/>
          <w:szCs w:val="21"/>
          <w:lang w:val="zh-CN"/>
        </w:rPr>
        <w:t>评标由招标人依法组建的评标委员会负责。</w:t>
      </w:r>
    </w:p>
    <w:p>
      <w:pPr>
        <w:spacing w:line="360" w:lineRule="auto"/>
        <w:ind w:firstLine="420"/>
        <w:rPr>
          <w:color w:val="FF0000"/>
          <w:szCs w:val="21"/>
          <w:highlight w:val="yellow"/>
        </w:rPr>
      </w:pPr>
      <w:r>
        <w:rPr>
          <w:szCs w:val="21"/>
        </w:rPr>
        <w:t xml:space="preserve">6.1.2 </w:t>
      </w:r>
      <w:r>
        <w:rPr>
          <w:rFonts w:hint="eastAsia"/>
          <w:szCs w:val="21"/>
        </w:rPr>
        <w:t>评标委员会成员有下列情形之一的，</w:t>
      </w:r>
      <w:r>
        <w:rPr>
          <w:rFonts w:hint="eastAsia" w:cs="宋体"/>
          <w:szCs w:val="21"/>
          <w:lang w:val="zh-CN"/>
        </w:rPr>
        <w:t>应当回避：</w:t>
      </w:r>
    </w:p>
    <w:p>
      <w:pPr>
        <w:spacing w:line="360" w:lineRule="auto"/>
        <w:ind w:firstLine="420"/>
        <w:rPr>
          <w:szCs w:val="21"/>
        </w:rPr>
      </w:pPr>
      <w:r>
        <w:rPr>
          <w:rFonts w:hint="eastAsia" w:cs="宋体"/>
          <w:szCs w:val="21"/>
          <w:lang w:val="zh-CN"/>
        </w:rPr>
        <w:t>（</w:t>
      </w:r>
      <w:r>
        <w:rPr>
          <w:szCs w:val="21"/>
        </w:rPr>
        <w:t>1</w:t>
      </w:r>
      <w:r>
        <w:rPr>
          <w:rFonts w:hint="eastAsia" w:cs="宋体"/>
          <w:szCs w:val="21"/>
          <w:lang w:val="zh-CN"/>
        </w:rPr>
        <w:t>）招标人或投标人的主要负责人的近亲属；</w:t>
      </w:r>
    </w:p>
    <w:p>
      <w:pPr>
        <w:spacing w:line="360" w:lineRule="auto"/>
        <w:ind w:firstLine="420"/>
        <w:rPr>
          <w:szCs w:val="21"/>
        </w:rPr>
      </w:pPr>
      <w:r>
        <w:rPr>
          <w:rFonts w:hint="eastAsia" w:cs="宋体"/>
          <w:szCs w:val="21"/>
          <w:lang w:val="zh-CN"/>
        </w:rPr>
        <w:t>（</w:t>
      </w:r>
      <w:r>
        <w:rPr>
          <w:szCs w:val="21"/>
        </w:rPr>
        <w:t>2</w:t>
      </w:r>
      <w:r>
        <w:rPr>
          <w:rFonts w:hint="eastAsia" w:cs="宋体"/>
          <w:szCs w:val="21"/>
          <w:lang w:val="zh-CN"/>
        </w:rPr>
        <w:t>）项目主管部门或者集团公司招标监督部门的人员；</w:t>
      </w:r>
    </w:p>
    <w:p>
      <w:pPr>
        <w:spacing w:line="360" w:lineRule="auto"/>
        <w:ind w:firstLine="420"/>
        <w:rPr>
          <w:szCs w:val="21"/>
        </w:rPr>
      </w:pPr>
      <w:r>
        <w:rPr>
          <w:rFonts w:hint="eastAsia" w:cs="宋体"/>
          <w:szCs w:val="21"/>
          <w:lang w:val="zh-CN"/>
        </w:rPr>
        <w:t>（</w:t>
      </w:r>
      <w:r>
        <w:rPr>
          <w:szCs w:val="21"/>
        </w:rPr>
        <w:t>3</w:t>
      </w:r>
      <w:r>
        <w:rPr>
          <w:rFonts w:hint="eastAsia" w:cs="宋体"/>
          <w:szCs w:val="21"/>
          <w:lang w:val="zh-CN"/>
        </w:rPr>
        <w:t>）与投标人有经济利益关系，可能影响对投标公正评审的；</w:t>
      </w:r>
    </w:p>
    <w:p>
      <w:pPr>
        <w:spacing w:line="360" w:lineRule="auto"/>
        <w:ind w:firstLine="420"/>
        <w:rPr>
          <w:szCs w:val="21"/>
        </w:rPr>
      </w:pPr>
      <w:r>
        <w:rPr>
          <w:rFonts w:hint="eastAsia" w:cs="宋体"/>
          <w:szCs w:val="21"/>
          <w:lang w:val="zh-CN"/>
        </w:rPr>
        <w:t>（</w:t>
      </w:r>
      <w:r>
        <w:rPr>
          <w:szCs w:val="21"/>
        </w:rPr>
        <w:t>4</w:t>
      </w:r>
      <w:r>
        <w:rPr>
          <w:rFonts w:hint="eastAsia" w:cs="宋体"/>
          <w:szCs w:val="21"/>
          <w:lang w:val="zh-CN"/>
        </w:rPr>
        <w:t>）曾因在招标、评标以及其他与招标投标有关活动中从事违法行为而受过行政处罚或刑事处罚的。</w:t>
      </w:r>
    </w:p>
    <w:p>
      <w:pPr>
        <w:spacing w:line="360" w:lineRule="auto"/>
        <w:ind w:firstLine="422"/>
        <w:rPr>
          <w:b/>
          <w:bCs/>
          <w:szCs w:val="21"/>
        </w:rPr>
      </w:pPr>
      <w:r>
        <w:rPr>
          <w:b/>
          <w:bCs/>
          <w:szCs w:val="21"/>
        </w:rPr>
        <w:t xml:space="preserve">6.2 </w:t>
      </w:r>
      <w:r>
        <w:rPr>
          <w:rFonts w:hint="eastAsia" w:cs="宋体"/>
          <w:b/>
          <w:bCs/>
          <w:szCs w:val="21"/>
          <w:lang w:val="zh-CN"/>
        </w:rPr>
        <w:t>评标原则</w:t>
      </w:r>
    </w:p>
    <w:p>
      <w:pPr>
        <w:spacing w:line="360" w:lineRule="auto"/>
        <w:ind w:firstLine="420"/>
        <w:rPr>
          <w:szCs w:val="21"/>
        </w:rPr>
      </w:pPr>
      <w:r>
        <w:rPr>
          <w:rFonts w:hint="eastAsia" w:cs="宋体"/>
          <w:szCs w:val="21"/>
          <w:lang w:val="zh-CN"/>
        </w:rPr>
        <w:t>评标活动遵循公平、公正、科学和择优的原则。</w:t>
      </w:r>
    </w:p>
    <w:p>
      <w:pPr>
        <w:spacing w:line="360" w:lineRule="auto"/>
        <w:ind w:firstLine="422"/>
        <w:rPr>
          <w:b/>
          <w:bCs/>
          <w:szCs w:val="21"/>
        </w:rPr>
      </w:pPr>
      <w:r>
        <w:rPr>
          <w:b/>
          <w:bCs/>
          <w:szCs w:val="21"/>
        </w:rPr>
        <w:t xml:space="preserve">6.3 </w:t>
      </w:r>
      <w:r>
        <w:rPr>
          <w:rFonts w:hint="eastAsia" w:cs="宋体"/>
          <w:b/>
          <w:bCs/>
          <w:szCs w:val="21"/>
          <w:lang w:val="zh-CN"/>
        </w:rPr>
        <w:t>评标</w:t>
      </w:r>
    </w:p>
    <w:p>
      <w:pPr>
        <w:spacing w:line="360" w:lineRule="auto"/>
        <w:ind w:firstLine="420"/>
        <w:rPr>
          <w:szCs w:val="21"/>
        </w:rPr>
      </w:pPr>
      <w:r>
        <w:rPr>
          <w:rFonts w:hint="eastAsia" w:cs="宋体"/>
          <w:szCs w:val="21"/>
          <w:lang w:val="zh-CN"/>
        </w:rPr>
        <w:t>评标委员会按照第三章</w:t>
      </w:r>
      <w:r>
        <w:rPr>
          <w:rFonts w:cs="宋体"/>
          <w:szCs w:val="21"/>
          <w:lang w:val="zh-CN"/>
        </w:rPr>
        <w:t>“</w:t>
      </w:r>
      <w:r>
        <w:rPr>
          <w:rFonts w:hint="eastAsia" w:cs="宋体"/>
          <w:szCs w:val="21"/>
          <w:lang w:val="zh-CN"/>
        </w:rPr>
        <w:t>评标办法</w:t>
      </w:r>
      <w:r>
        <w:rPr>
          <w:rFonts w:cs="宋体"/>
          <w:szCs w:val="21"/>
          <w:lang w:val="zh-CN"/>
        </w:rPr>
        <w:t>”</w:t>
      </w:r>
      <w:r>
        <w:rPr>
          <w:rFonts w:hint="eastAsia" w:cs="宋体"/>
          <w:szCs w:val="21"/>
          <w:lang w:val="zh-CN"/>
        </w:rPr>
        <w:t>规定的方法、评审因素、标准和程序对投标文件进行评审。第三章</w:t>
      </w:r>
      <w:r>
        <w:rPr>
          <w:rFonts w:cs="宋体"/>
          <w:szCs w:val="21"/>
          <w:lang w:val="zh-CN"/>
        </w:rPr>
        <w:t>“</w:t>
      </w:r>
      <w:r>
        <w:rPr>
          <w:rFonts w:hint="eastAsia" w:cs="宋体"/>
          <w:szCs w:val="21"/>
          <w:lang w:val="zh-CN"/>
        </w:rPr>
        <w:t>评标办法</w:t>
      </w:r>
      <w:r>
        <w:rPr>
          <w:rFonts w:cs="宋体"/>
          <w:szCs w:val="21"/>
          <w:lang w:val="zh-CN"/>
        </w:rPr>
        <w:t>”</w:t>
      </w:r>
      <w:r>
        <w:rPr>
          <w:rFonts w:hint="eastAsia" w:cs="宋体"/>
          <w:szCs w:val="21"/>
          <w:lang w:val="zh-CN"/>
        </w:rPr>
        <w:t>没有规定的方法、评审因素和标准，不作为评标依据。</w:t>
      </w:r>
    </w:p>
    <w:p>
      <w:pPr>
        <w:spacing w:line="360" w:lineRule="auto"/>
        <w:ind w:firstLine="422"/>
        <w:rPr>
          <w:b/>
          <w:bCs/>
          <w:szCs w:val="21"/>
        </w:rPr>
      </w:pPr>
      <w:r>
        <w:rPr>
          <w:b/>
          <w:bCs/>
          <w:szCs w:val="21"/>
        </w:rPr>
        <w:t xml:space="preserve">6.4 </w:t>
      </w:r>
      <w:r>
        <w:rPr>
          <w:rFonts w:hint="eastAsia" w:cs="宋体"/>
          <w:b/>
          <w:bCs/>
          <w:szCs w:val="21"/>
          <w:lang w:val="zh-CN"/>
        </w:rPr>
        <w:t>对投标文件的初审和响应性的确定</w:t>
      </w:r>
    </w:p>
    <w:p>
      <w:pPr>
        <w:spacing w:line="360" w:lineRule="auto"/>
        <w:ind w:firstLine="420"/>
        <w:rPr>
          <w:szCs w:val="21"/>
        </w:rPr>
      </w:pPr>
      <w:r>
        <w:rPr>
          <w:szCs w:val="21"/>
        </w:rPr>
        <w:t xml:space="preserve">6.4.1 </w:t>
      </w:r>
      <w:r>
        <w:rPr>
          <w:rFonts w:hint="eastAsia" w:cs="宋体"/>
          <w:szCs w:val="21"/>
          <w:lang w:val="zh-CN"/>
        </w:rPr>
        <w:t>评标委员会将审查投标文件是否完整、总体编排是否有序、有无计算错误、文件签署是否合格、投标人是否提交了投标保证金及投标保证金的金额、有效期是否符合规定等事项。</w:t>
      </w:r>
    </w:p>
    <w:p>
      <w:pPr>
        <w:spacing w:line="360" w:lineRule="auto"/>
        <w:ind w:firstLine="420"/>
        <w:rPr>
          <w:color w:val="FF0000"/>
          <w:szCs w:val="21"/>
          <w:highlight w:val="yellow"/>
        </w:rPr>
      </w:pPr>
      <w:r>
        <w:rPr>
          <w:szCs w:val="21"/>
        </w:rPr>
        <w:t>6.4.2</w:t>
      </w:r>
      <w:r>
        <w:rPr>
          <w:rFonts w:hint="eastAsia"/>
          <w:szCs w:val="21"/>
        </w:rPr>
        <w:t xml:space="preserve"> </w:t>
      </w:r>
      <w:r>
        <w:rPr>
          <w:rFonts w:hint="eastAsia" w:cs="宋体"/>
          <w:szCs w:val="21"/>
          <w:lang w:val="zh-CN"/>
        </w:rPr>
        <w:t>投标文件中的大写金额与小写金额不一致的，以大写金额为准，对小写金额进行修正；如果总价金额与单价金额不一致，以单价为准，对总价进行修正。如果投标人拒绝接受对其错误的更正，其投标将被拒绝。</w:t>
      </w:r>
    </w:p>
    <w:p>
      <w:pPr>
        <w:spacing w:line="360" w:lineRule="auto"/>
        <w:ind w:firstLine="420"/>
        <w:rPr>
          <w:color w:val="FF0000"/>
          <w:szCs w:val="21"/>
          <w:highlight w:val="yellow"/>
        </w:rPr>
      </w:pPr>
      <w:r>
        <w:rPr>
          <w:szCs w:val="21"/>
        </w:rPr>
        <w:t xml:space="preserve">6.4.3 </w:t>
      </w:r>
      <w:r>
        <w:rPr>
          <w:rFonts w:hint="eastAsia" w:cs="宋体"/>
          <w:szCs w:val="21"/>
          <w:lang w:val="zh-CN"/>
        </w:rPr>
        <w:t>在对投标文件进行详细评估之前，评标委员会将确定每一标书是否对招标文件的要求做出了实质性响应。实质性响应的投标应该是与招标文件要求的关键条款、条件和规格、技术要求相符，没有重大偏离和保留的投标。</w:t>
      </w:r>
    </w:p>
    <w:p>
      <w:pPr>
        <w:spacing w:line="360" w:lineRule="auto"/>
        <w:ind w:firstLine="420"/>
        <w:rPr>
          <w:szCs w:val="21"/>
        </w:rPr>
      </w:pPr>
      <w:r>
        <w:rPr>
          <w:szCs w:val="21"/>
        </w:rPr>
        <w:t xml:space="preserve">6.4.4 </w:t>
      </w:r>
      <w:r>
        <w:rPr>
          <w:rFonts w:hint="eastAsia" w:cs="宋体"/>
          <w:szCs w:val="21"/>
          <w:lang w:val="zh-CN"/>
        </w:rPr>
        <w:t>投标文件不响应招标文件的实质性要求和条件的，经评标委员会评审后作废标处理。投标人不得通过修正或撤销不合要求的偏离或保留从而使其投标成为实质上响应的投标。下列情况属于没有实质性响应招标文件要求：</w:t>
      </w:r>
    </w:p>
    <w:p>
      <w:pPr>
        <w:pStyle w:val="61"/>
        <w:rPr>
          <w:rFonts w:hint="eastAsia"/>
        </w:rPr>
      </w:pPr>
      <w:r>
        <w:rPr>
          <w:rFonts w:hint="eastAsia" w:hAnsi="宋体"/>
        </w:rPr>
        <w:t>详见投标人须知中的6.5否决投标标准条款，含附件1-2商务关键条款、</w:t>
      </w:r>
      <w:r>
        <w:rPr>
          <w:rFonts w:hint="eastAsia" w:hAnsi="宋体"/>
          <w:kern w:val="2"/>
        </w:rPr>
        <w:t>附件1-3技术关键条款等。</w:t>
      </w:r>
    </w:p>
    <w:p>
      <w:pPr>
        <w:spacing w:line="360" w:lineRule="auto"/>
        <w:ind w:firstLine="420"/>
        <w:rPr>
          <w:szCs w:val="21"/>
        </w:rPr>
      </w:pPr>
      <w:r>
        <w:rPr>
          <w:szCs w:val="21"/>
        </w:rPr>
        <w:t xml:space="preserve">6.4.5 </w:t>
      </w:r>
      <w:r>
        <w:rPr>
          <w:rFonts w:hint="eastAsia" w:cs="宋体"/>
          <w:szCs w:val="21"/>
          <w:lang w:val="zh-CN"/>
        </w:rPr>
        <w:t>一旦评标委员会将某一投标人的投标文件确定为非响应性的投标，投标人不能通过修正或撤销不符之处而使其投标成为响应性投标。</w:t>
      </w:r>
    </w:p>
    <w:p>
      <w:pPr>
        <w:spacing w:line="360" w:lineRule="auto"/>
        <w:ind w:firstLine="420"/>
        <w:rPr>
          <w:szCs w:val="21"/>
        </w:rPr>
      </w:pPr>
      <w:r>
        <w:rPr>
          <w:szCs w:val="21"/>
        </w:rPr>
        <w:t xml:space="preserve">6.4.6 </w:t>
      </w:r>
      <w:r>
        <w:rPr>
          <w:rFonts w:hint="eastAsia" w:cs="宋体"/>
          <w:szCs w:val="21"/>
          <w:lang w:val="zh-CN"/>
        </w:rPr>
        <w:t>评标委员会将允许投标中有微小的不正规，不一致或不规则，而该微小之处不构成重大偏离。</w:t>
      </w:r>
    </w:p>
    <w:p>
      <w:pPr>
        <w:spacing w:line="360" w:lineRule="auto"/>
        <w:ind w:firstLine="420"/>
        <w:rPr>
          <w:szCs w:val="21"/>
        </w:rPr>
      </w:pPr>
      <w:r>
        <w:rPr>
          <w:szCs w:val="21"/>
        </w:rPr>
        <w:t xml:space="preserve">6.4.7 </w:t>
      </w:r>
      <w:r>
        <w:rPr>
          <w:rFonts w:hint="eastAsia" w:cs="宋体"/>
          <w:szCs w:val="21"/>
          <w:lang w:val="zh-CN"/>
        </w:rPr>
        <w:t>在评标委员会评标过程中，对于投标文件中存在的可能影响评标委员会评标正确性的问题，评标委员会有权要求投标人做进一步的澄清。</w:t>
      </w:r>
    </w:p>
    <w:p>
      <w:pPr>
        <w:spacing w:line="360" w:lineRule="auto"/>
        <w:ind w:firstLine="422"/>
        <w:rPr>
          <w:b/>
        </w:rPr>
      </w:pPr>
      <w:r>
        <w:rPr>
          <w:b/>
          <w:bCs/>
          <w:szCs w:val="21"/>
        </w:rPr>
        <w:t xml:space="preserve">6.5 </w:t>
      </w:r>
      <w:r>
        <w:rPr>
          <w:b/>
        </w:rPr>
        <w:t xml:space="preserve"> </w:t>
      </w:r>
      <w:r>
        <w:rPr>
          <w:rFonts w:hint="eastAsia"/>
          <w:b/>
        </w:rPr>
        <w:t>否决投标标准</w:t>
      </w:r>
    </w:p>
    <w:p>
      <w:pPr>
        <w:pStyle w:val="61"/>
      </w:pPr>
      <w:r>
        <w:rPr>
          <w:rFonts w:hint="eastAsia"/>
        </w:rPr>
        <w:t>6.5</w:t>
      </w:r>
      <w:r>
        <w:t xml:space="preserve">.1 </w:t>
      </w:r>
      <w:r>
        <w:rPr>
          <w:rFonts w:hint="eastAsia"/>
        </w:rPr>
        <w:t>投标文件内容违反国家法律法规；</w:t>
      </w:r>
    </w:p>
    <w:p>
      <w:pPr>
        <w:pStyle w:val="61"/>
      </w:pPr>
      <w:r>
        <w:rPr>
          <w:rFonts w:hint="eastAsia"/>
        </w:rPr>
        <w:t>6.5</w:t>
      </w:r>
      <w:r>
        <w:t xml:space="preserve">.2 </w:t>
      </w:r>
      <w:r>
        <w:rPr>
          <w:rFonts w:hint="eastAsia"/>
        </w:rPr>
        <w:t>投标人串标、行贿、以他人名义投标或从事其他国家法律、法规规定为无效投标行为的；</w:t>
      </w:r>
    </w:p>
    <w:p>
      <w:pPr>
        <w:pStyle w:val="61"/>
        <w:ind w:firstLine="422"/>
        <w:rPr>
          <w:b/>
        </w:rPr>
      </w:pPr>
      <w:r>
        <w:rPr>
          <w:rFonts w:hint="eastAsia"/>
          <w:b/>
        </w:rPr>
        <w:t>6.5</w:t>
      </w:r>
      <w:r>
        <w:rPr>
          <w:b/>
        </w:rPr>
        <w:t xml:space="preserve">.3 </w:t>
      </w:r>
      <w:r>
        <w:rPr>
          <w:rFonts w:hint="eastAsia"/>
          <w:b/>
        </w:rPr>
        <w:t>投标人报价高于最高投标限价或以明显低于成本的价格恶意扰乱招标工作；</w:t>
      </w:r>
      <w:r>
        <w:rPr>
          <w:b/>
        </w:rPr>
        <w:t xml:space="preserve"> </w:t>
      </w:r>
    </w:p>
    <w:p>
      <w:pPr>
        <w:pStyle w:val="61"/>
      </w:pPr>
      <w:r>
        <w:rPr>
          <w:rFonts w:hint="eastAsia"/>
        </w:rPr>
        <w:t>6.5.</w:t>
      </w:r>
      <w:r>
        <w:t>4</w:t>
      </w:r>
      <w:r>
        <w:rPr>
          <w:rFonts w:hint="eastAsia"/>
        </w:rPr>
        <w:t>投标人对评标委员会要求投标人澄清的问题不予理睬或拒绝回答</w:t>
      </w:r>
    </w:p>
    <w:p>
      <w:pPr>
        <w:pStyle w:val="61"/>
      </w:pPr>
      <w:r>
        <w:rPr>
          <w:rFonts w:hint="eastAsia"/>
        </w:rPr>
        <w:t>6.5</w:t>
      </w:r>
      <w:r>
        <w:t>.5</w:t>
      </w:r>
      <w:r>
        <w:rPr>
          <w:rFonts w:hint="eastAsia"/>
        </w:rPr>
        <w:t>投标人不符合国家或者招标文件规定的资格条件；</w:t>
      </w:r>
    </w:p>
    <w:p>
      <w:pPr>
        <w:pStyle w:val="61"/>
        <w:rPr>
          <w:color w:val="FF0000"/>
          <w:highlight w:val="yellow"/>
        </w:rPr>
      </w:pPr>
      <w:r>
        <w:rPr>
          <w:rFonts w:hint="eastAsia"/>
        </w:rPr>
        <w:t>6.5</w:t>
      </w:r>
      <w:r>
        <w:t>.</w:t>
      </w:r>
      <w:r>
        <w:rPr>
          <w:rFonts w:hint="eastAsia"/>
        </w:rPr>
        <w:t>6投标人的投标报价实质性不响应招标文件要求；</w:t>
      </w:r>
    </w:p>
    <w:p>
      <w:pPr>
        <w:pStyle w:val="61"/>
        <w:rPr>
          <w:rFonts w:hint="eastAsia"/>
          <w:bCs/>
        </w:rPr>
      </w:pPr>
      <w:r>
        <w:rPr>
          <w:rFonts w:hint="eastAsia"/>
          <w:bCs/>
        </w:rPr>
        <w:t>6.5</w:t>
      </w:r>
      <w:r>
        <w:rPr>
          <w:bCs/>
        </w:rPr>
        <w:t>.</w:t>
      </w:r>
      <w:r>
        <w:rPr>
          <w:rFonts w:hint="eastAsia"/>
          <w:bCs/>
        </w:rPr>
        <w:t>7投标人未按招标文件要求的投标文件格式递交。</w:t>
      </w:r>
    </w:p>
    <w:p>
      <w:pPr>
        <w:pStyle w:val="61"/>
        <w:ind w:firstLine="422"/>
        <w:rPr>
          <w:b/>
        </w:rPr>
      </w:pPr>
      <w:r>
        <w:rPr>
          <w:b/>
        </w:rPr>
        <w:t>6.5.</w:t>
      </w:r>
      <w:r>
        <w:rPr>
          <w:rFonts w:hint="eastAsia"/>
          <w:b/>
        </w:rPr>
        <w:t>8其他构成废标的情形详见附件1-2商务关键条款及附件1-3技术关键条款等。</w:t>
      </w:r>
    </w:p>
    <w:p>
      <w:pPr>
        <w:pStyle w:val="4"/>
        <w:ind w:firstLine="413" w:firstLineChars="196"/>
        <w:jc w:val="both"/>
        <w:rPr>
          <w:rFonts w:ascii="宋体"/>
          <w:kern w:val="2"/>
          <w:sz w:val="21"/>
          <w:szCs w:val="21"/>
        </w:rPr>
      </w:pPr>
      <w:bookmarkStart w:id="232" w:name="_Toc307924154"/>
      <w:bookmarkStart w:id="233" w:name="_Toc340061572"/>
      <w:bookmarkStart w:id="234" w:name="_Toc340138061"/>
      <w:bookmarkStart w:id="235" w:name="_Toc340513868"/>
      <w:bookmarkStart w:id="236" w:name="_Toc363059650"/>
      <w:bookmarkStart w:id="237" w:name="_Toc340424160"/>
      <w:bookmarkStart w:id="238" w:name="_Toc363128940"/>
      <w:bookmarkStart w:id="239" w:name="_Toc363454539"/>
      <w:bookmarkStart w:id="240" w:name="_Toc16482"/>
      <w:bookmarkStart w:id="241" w:name="_Toc363134238"/>
      <w:bookmarkStart w:id="242" w:name="_Toc310252833"/>
      <w:bookmarkStart w:id="243" w:name="_Toc363127800"/>
      <w:bookmarkStart w:id="244" w:name="_Toc363125346"/>
      <w:bookmarkStart w:id="245" w:name="_Toc340108798"/>
      <w:r>
        <w:rPr>
          <w:rFonts w:hint="eastAsia" w:ascii="宋体" w:hAnsi="宋体"/>
          <w:kern w:val="2"/>
          <w:sz w:val="21"/>
          <w:szCs w:val="21"/>
        </w:rPr>
        <w:t>7</w:t>
      </w:r>
      <w:r>
        <w:rPr>
          <w:rFonts w:ascii="宋体" w:hAnsi="宋体"/>
          <w:kern w:val="2"/>
          <w:sz w:val="21"/>
          <w:szCs w:val="21"/>
        </w:rPr>
        <w:t>.</w:t>
      </w:r>
      <w:r>
        <w:rPr>
          <w:rFonts w:hint="eastAsia" w:ascii="宋体" w:hAnsi="宋体"/>
          <w:kern w:val="2"/>
          <w:sz w:val="21"/>
          <w:szCs w:val="21"/>
        </w:rPr>
        <w:t>授予合同</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pacing w:line="360" w:lineRule="auto"/>
        <w:ind w:firstLine="422"/>
        <w:rPr>
          <w:b/>
          <w:bCs/>
          <w:szCs w:val="21"/>
        </w:rPr>
      </w:pPr>
      <w:bookmarkStart w:id="246" w:name="_Toc310252634"/>
      <w:bookmarkStart w:id="247" w:name="_Toc310252835"/>
      <w:bookmarkStart w:id="248" w:name="_Toc340108800"/>
      <w:bookmarkStart w:id="249" w:name="_Toc340061574"/>
      <w:r>
        <w:rPr>
          <w:b/>
          <w:bCs/>
          <w:szCs w:val="21"/>
        </w:rPr>
        <w:t xml:space="preserve">7.1 </w:t>
      </w:r>
      <w:r>
        <w:rPr>
          <w:rFonts w:hint="eastAsia" w:cs="宋体"/>
          <w:b/>
          <w:bCs/>
          <w:szCs w:val="21"/>
          <w:lang w:val="zh-CN"/>
        </w:rPr>
        <w:t>授标前审查</w:t>
      </w:r>
    </w:p>
    <w:p>
      <w:pPr>
        <w:spacing w:line="360" w:lineRule="auto"/>
        <w:ind w:firstLine="420"/>
        <w:rPr>
          <w:szCs w:val="21"/>
        </w:rPr>
      </w:pPr>
      <w:r>
        <w:rPr>
          <w:szCs w:val="21"/>
        </w:rPr>
        <w:t xml:space="preserve">7.1.1 </w:t>
      </w:r>
      <w:r>
        <w:rPr>
          <w:rFonts w:hint="eastAsia" w:cs="宋体"/>
          <w:szCs w:val="21"/>
          <w:lang w:val="zh-CN"/>
        </w:rPr>
        <w:t>在授予合同前，招标人发现经评标委员会推荐的中标候选人的经营、财务状况发生较大变化或存在违法行为，招标人认为可能影响其履约能力的，招标人有权在发出中标通知书前由原评标委员会按照招标文件规定的标准和方法审查确认。</w:t>
      </w:r>
    </w:p>
    <w:p>
      <w:pPr>
        <w:spacing w:line="360" w:lineRule="auto"/>
        <w:ind w:firstLine="420"/>
        <w:rPr>
          <w:szCs w:val="21"/>
        </w:rPr>
      </w:pPr>
      <w:r>
        <w:rPr>
          <w:szCs w:val="21"/>
        </w:rPr>
        <w:t xml:space="preserve">7.1.2 </w:t>
      </w:r>
      <w:r>
        <w:rPr>
          <w:rFonts w:hint="eastAsia" w:cs="宋体"/>
          <w:szCs w:val="21"/>
          <w:lang w:val="zh-CN"/>
        </w:rPr>
        <w:t>如果投标人被确定为无能力履行合同，其投标将被拒绝。在该情况下，招标人将对按综</w:t>
      </w:r>
      <w:r>
        <w:rPr>
          <w:rFonts w:hint="eastAsia"/>
          <w:szCs w:val="21"/>
        </w:rPr>
        <w:t>合评标分由高到低排序的下一个投标人作出同样的审查，确定中标候选人或重新组织招标。</w:t>
      </w:r>
    </w:p>
    <w:p>
      <w:pPr>
        <w:pStyle w:val="61"/>
        <w:ind w:firstLine="422"/>
        <w:rPr>
          <w:b/>
        </w:rPr>
      </w:pPr>
      <w:r>
        <w:rPr>
          <w:rFonts w:hint="eastAsia"/>
          <w:b/>
        </w:rPr>
        <w:t>7</w:t>
      </w:r>
      <w:r>
        <w:rPr>
          <w:b/>
        </w:rPr>
        <w:t xml:space="preserve">.2 </w:t>
      </w:r>
      <w:r>
        <w:rPr>
          <w:rFonts w:hint="eastAsia"/>
          <w:b/>
        </w:rPr>
        <w:t>中标人授予标准</w:t>
      </w:r>
      <w:bookmarkEnd w:id="246"/>
      <w:bookmarkEnd w:id="247"/>
      <w:bookmarkEnd w:id="248"/>
      <w:bookmarkEnd w:id="249"/>
    </w:p>
    <w:p>
      <w:pPr>
        <w:pStyle w:val="61"/>
        <w:rPr>
          <w:b/>
        </w:rPr>
      </w:pPr>
      <w:r>
        <w:rPr>
          <w:rFonts w:hint="eastAsia"/>
        </w:rPr>
        <w:t>招标人依据评标委员会推荐的投标人排名顺序及授标原则选取中标人（详见附件1-1）。</w:t>
      </w:r>
    </w:p>
    <w:p>
      <w:pPr>
        <w:pStyle w:val="61"/>
        <w:ind w:firstLine="422"/>
        <w:rPr>
          <w:b/>
        </w:rPr>
      </w:pPr>
      <w:bookmarkStart w:id="250" w:name="_Toc310252636"/>
      <w:bookmarkStart w:id="251" w:name="_Toc310252837"/>
      <w:bookmarkStart w:id="252" w:name="_Toc340061575"/>
      <w:bookmarkStart w:id="253" w:name="_Toc340108801"/>
      <w:r>
        <w:rPr>
          <w:rFonts w:hint="eastAsia"/>
          <w:b/>
        </w:rPr>
        <w:t>7</w:t>
      </w:r>
      <w:r>
        <w:rPr>
          <w:b/>
        </w:rPr>
        <w:t>.3</w:t>
      </w:r>
      <w:r>
        <w:rPr>
          <w:rFonts w:hint="eastAsia"/>
          <w:b/>
        </w:rPr>
        <w:t>中标通知书</w:t>
      </w:r>
      <w:bookmarkEnd w:id="250"/>
      <w:bookmarkEnd w:id="251"/>
      <w:bookmarkEnd w:id="252"/>
      <w:bookmarkEnd w:id="253"/>
      <w:r>
        <w:rPr>
          <w:b/>
        </w:rPr>
        <w:t xml:space="preserve"> </w:t>
      </w:r>
    </w:p>
    <w:p>
      <w:pPr>
        <w:pStyle w:val="61"/>
      </w:pPr>
      <w:r>
        <w:rPr>
          <w:rFonts w:hint="eastAsia"/>
        </w:rPr>
        <w:t>在招标人最终接受此招标过程及结果的情况下：</w:t>
      </w:r>
    </w:p>
    <w:p>
      <w:pPr>
        <w:pStyle w:val="61"/>
      </w:pPr>
      <w:r>
        <w:rPr>
          <w:rFonts w:hint="eastAsia"/>
        </w:rPr>
        <w:t>7</w:t>
      </w:r>
      <w:r>
        <w:t xml:space="preserve">.3.1 </w:t>
      </w:r>
      <w:r>
        <w:rPr>
          <w:rFonts w:hint="eastAsia"/>
        </w:rPr>
        <w:t>投标文件有效期期满前，通知中标人其投标被接受。</w:t>
      </w:r>
    </w:p>
    <w:p>
      <w:pPr>
        <w:pStyle w:val="61"/>
      </w:pPr>
      <w:r>
        <w:rPr>
          <w:rFonts w:hint="eastAsia"/>
        </w:rPr>
        <w:t>7</w:t>
      </w:r>
      <w:r>
        <w:t xml:space="preserve">.3.2 </w:t>
      </w:r>
      <w:r>
        <w:rPr>
          <w:rFonts w:hint="eastAsia"/>
        </w:rPr>
        <w:t>中标通知书将作为招标人采购中标人所提供的产品及服务的协议的一部分。</w:t>
      </w:r>
    </w:p>
    <w:p>
      <w:pPr>
        <w:pStyle w:val="61"/>
      </w:pPr>
      <w:r>
        <w:rPr>
          <w:rFonts w:hint="eastAsia"/>
        </w:rPr>
        <w:t>7</w:t>
      </w:r>
      <w:r>
        <w:t xml:space="preserve">.3.3 </w:t>
      </w:r>
      <w:r>
        <w:rPr>
          <w:rFonts w:hint="eastAsia"/>
        </w:rPr>
        <w:t>若中标人未能满足本章第7</w:t>
      </w:r>
      <w:r>
        <w:t>.4</w:t>
      </w:r>
      <w:r>
        <w:rPr>
          <w:rFonts w:hint="eastAsia"/>
        </w:rPr>
        <w:t>款要求，招标人有充分的理由取消该中标决定，投标保证金不予返还。</w:t>
      </w:r>
    </w:p>
    <w:p>
      <w:pPr>
        <w:spacing w:line="360" w:lineRule="auto"/>
        <w:ind w:firstLine="420" w:firstLineChars="200"/>
        <w:rPr>
          <w:rFonts w:ascii="Times New Roman"/>
          <w:kern w:val="2"/>
          <w:szCs w:val="21"/>
        </w:rPr>
      </w:pPr>
      <w:r>
        <w:rPr>
          <w:rFonts w:hint="eastAsia" w:ascii="Times New Roman"/>
          <w:kern w:val="2"/>
          <w:szCs w:val="21"/>
        </w:rPr>
        <w:t>7</w:t>
      </w:r>
      <w:r>
        <w:rPr>
          <w:rFonts w:ascii="Times New Roman"/>
          <w:kern w:val="2"/>
          <w:szCs w:val="21"/>
        </w:rPr>
        <w:t>.3.4</w:t>
      </w:r>
      <w:r>
        <w:rPr>
          <w:rFonts w:hint="eastAsia" w:ascii="Times New Roman"/>
          <w:kern w:val="2"/>
          <w:szCs w:val="21"/>
        </w:rPr>
        <w:t>招标人或招标代理机构向中标人发放《中标通知书》，中标人凭《中标通知书》与招标人进行物资销售、签约、结算等业务的依据。</w:t>
      </w:r>
    </w:p>
    <w:p>
      <w:pPr>
        <w:pStyle w:val="37"/>
        <w:adjustRightInd w:val="0"/>
        <w:spacing w:line="360" w:lineRule="auto"/>
        <w:ind w:left="0" w:firstLine="420" w:firstLineChars="200"/>
        <w:contextualSpacing/>
        <w:rPr>
          <w:spacing w:val="0"/>
          <w:kern w:val="2"/>
          <w:sz w:val="21"/>
          <w:szCs w:val="21"/>
        </w:rPr>
      </w:pPr>
      <w:r>
        <w:rPr>
          <w:rFonts w:hint="eastAsia"/>
          <w:spacing w:val="0"/>
          <w:kern w:val="2"/>
          <w:sz w:val="21"/>
          <w:szCs w:val="21"/>
        </w:rPr>
        <w:t>7</w:t>
      </w:r>
      <w:r>
        <w:rPr>
          <w:spacing w:val="0"/>
          <w:kern w:val="2"/>
          <w:sz w:val="21"/>
          <w:szCs w:val="21"/>
        </w:rPr>
        <w:t>.3.5</w:t>
      </w:r>
      <w:r>
        <w:rPr>
          <w:rFonts w:hint="eastAsia"/>
          <w:spacing w:val="0"/>
          <w:kern w:val="2"/>
          <w:sz w:val="21"/>
          <w:szCs w:val="21"/>
        </w:rPr>
        <w:t>中标厂商如不履行供货义务视为违约，违约厂商按有关规定承担相应的违约责任。</w:t>
      </w:r>
    </w:p>
    <w:p>
      <w:pPr>
        <w:pStyle w:val="37"/>
        <w:adjustRightInd w:val="0"/>
        <w:spacing w:line="360" w:lineRule="auto"/>
        <w:ind w:left="0" w:firstLine="420" w:firstLineChars="200"/>
        <w:contextualSpacing/>
        <w:rPr>
          <w:rFonts w:hint="eastAsia"/>
          <w:spacing w:val="0"/>
          <w:kern w:val="2"/>
          <w:sz w:val="21"/>
          <w:szCs w:val="21"/>
        </w:rPr>
      </w:pPr>
      <w:r>
        <w:rPr>
          <w:rFonts w:hint="eastAsia"/>
          <w:spacing w:val="0"/>
          <w:kern w:val="2"/>
          <w:sz w:val="21"/>
          <w:szCs w:val="21"/>
        </w:rPr>
        <w:t>7</w:t>
      </w:r>
      <w:r>
        <w:rPr>
          <w:spacing w:val="0"/>
          <w:kern w:val="2"/>
          <w:sz w:val="21"/>
          <w:szCs w:val="21"/>
        </w:rPr>
        <w:t>.3.6</w:t>
      </w:r>
      <w:bookmarkStart w:id="254" w:name="_Toc310252637"/>
      <w:bookmarkStart w:id="255" w:name="_Toc310252838"/>
      <w:r>
        <w:rPr>
          <w:rFonts w:hint="eastAsia"/>
          <w:spacing w:val="0"/>
          <w:kern w:val="2"/>
          <w:sz w:val="21"/>
          <w:szCs w:val="21"/>
        </w:rPr>
        <w:t>中标人接到通知后在5日内领取中标通知书，否则后果自负。</w:t>
      </w:r>
    </w:p>
    <w:p>
      <w:pPr>
        <w:pStyle w:val="37"/>
        <w:adjustRightInd w:val="0"/>
        <w:spacing w:line="360" w:lineRule="auto"/>
        <w:ind w:left="0" w:firstLine="438" w:firstLineChars="200"/>
        <w:contextualSpacing/>
        <w:rPr>
          <w:rFonts w:ascii="宋体" w:hAnsi="宋体"/>
          <w:b/>
          <w:sz w:val="21"/>
          <w:szCs w:val="21"/>
        </w:rPr>
      </w:pPr>
      <w:r>
        <w:rPr>
          <w:rFonts w:hint="eastAsia" w:ascii="宋体" w:hAnsi="宋体"/>
          <w:b/>
          <w:sz w:val="21"/>
          <w:szCs w:val="21"/>
        </w:rPr>
        <w:t>7</w:t>
      </w:r>
      <w:r>
        <w:rPr>
          <w:rFonts w:ascii="宋体" w:hAnsi="宋体"/>
          <w:b/>
          <w:sz w:val="21"/>
          <w:szCs w:val="21"/>
        </w:rPr>
        <w:t xml:space="preserve">.4 </w:t>
      </w:r>
      <w:r>
        <w:rPr>
          <w:rFonts w:hint="eastAsia" w:ascii="宋体" w:hAnsi="宋体"/>
          <w:b/>
          <w:sz w:val="21"/>
          <w:szCs w:val="21"/>
        </w:rPr>
        <w:t>签订合同</w:t>
      </w:r>
      <w:bookmarkEnd w:id="254"/>
      <w:bookmarkEnd w:id="255"/>
    </w:p>
    <w:p>
      <w:pPr>
        <w:pStyle w:val="61"/>
        <w:rPr>
          <w:rFonts w:hint="eastAsia"/>
        </w:rPr>
      </w:pPr>
      <w:r>
        <w:rPr>
          <w:rFonts w:hint="eastAsia"/>
        </w:rPr>
        <w:t>7</w:t>
      </w:r>
      <w:r>
        <w:t>.4.1</w:t>
      </w:r>
      <w:r>
        <w:rPr>
          <w:rFonts w:hint="eastAsia"/>
        </w:rPr>
        <w:t>中标人在收到中标通知后，应按通知规定与招标人签订合同。若中标人未对招标文件提出过偏离、保留或反对，则被视为中标人已完全接受了招标文件，中标人无权在合同签订前要求修改合同条款。若中标人已对招标文件提出了偏离、保留或反对，则中标人仅可就其已提出的偏离、保留或反对与招标人进行磋商。如经磋商最终达不成一致意见，招标人有权不与中标人签约、取消其中标资格而不承担任何责任。在此情况下，招标人有权按照评标委员会提出的中标候选人排序依次确定其他中标候选人为中标人，也可以重新招标。</w:t>
      </w:r>
    </w:p>
    <w:p>
      <w:pPr>
        <w:pStyle w:val="61"/>
        <w:rPr>
          <w:rFonts w:hint="eastAsia"/>
        </w:rPr>
      </w:pPr>
      <w:r>
        <w:rPr>
          <w:rFonts w:hint="eastAsia"/>
        </w:rPr>
        <w:t>7</w:t>
      </w:r>
      <w:r>
        <w:t>.4.2</w:t>
      </w:r>
      <w:r>
        <w:rPr>
          <w:rFonts w:hint="eastAsia"/>
        </w:rPr>
        <w:t>在合同履行过程中，招标人将随时对中标单位进行跟踪考察。</w:t>
      </w:r>
    </w:p>
    <w:p>
      <w:pPr>
        <w:pStyle w:val="61"/>
        <w:ind w:firstLine="400"/>
        <w:rPr>
          <w:rFonts w:ascii="Arial" w:hAnsi="Arial"/>
          <w:kern w:val="2"/>
          <w:sz w:val="20"/>
        </w:rPr>
        <w:sectPr>
          <w:footerReference r:id="rId11" w:type="first"/>
          <w:footerReference r:id="rId10" w:type="default"/>
          <w:pgSz w:w="11907" w:h="16840"/>
          <w:pgMar w:top="1270" w:right="1474" w:bottom="794" w:left="1474" w:header="851" w:footer="992" w:gutter="0"/>
          <w:cols w:space="720" w:num="1"/>
          <w:docGrid w:type="lines" w:linePitch="318" w:charSpace="0"/>
        </w:sectPr>
      </w:pPr>
    </w:p>
    <w:p>
      <w:pPr>
        <w:pStyle w:val="68"/>
        <w:numPr>
          <w:ilvl w:val="0"/>
          <w:numId w:val="6"/>
        </w:numPr>
        <w:spacing w:before="318" w:beforeLines="0" w:after="318" w:afterLines="0"/>
        <w:rPr>
          <w:rFonts w:hint="eastAsia"/>
        </w:rPr>
      </w:pPr>
      <w:bookmarkStart w:id="256" w:name="_Toc307924164"/>
      <w:bookmarkStart w:id="257" w:name="_Toc363125347"/>
      <w:bookmarkStart w:id="258" w:name="_Toc363127801"/>
      <w:bookmarkStart w:id="259" w:name="_Toc363128941"/>
      <w:bookmarkStart w:id="260" w:name="_Toc363134239"/>
      <w:bookmarkStart w:id="261" w:name="_Toc307924165"/>
      <w:bookmarkStart w:id="262" w:name="_Toc363454540"/>
      <w:bookmarkStart w:id="263" w:name="_Toc204592932"/>
      <w:bookmarkStart w:id="264" w:name="_Toc244261273"/>
      <w:bookmarkStart w:id="265" w:name="_Toc363059651"/>
      <w:bookmarkStart w:id="266" w:name="_Toc11670"/>
      <w:bookmarkStart w:id="267" w:name="_Toc209405281"/>
      <w:bookmarkStart w:id="268" w:name="_Toc120020261"/>
      <w:bookmarkStart w:id="269" w:name="_Toc120019621"/>
      <w:bookmarkStart w:id="270" w:name="_Toc120020767"/>
      <w:bookmarkStart w:id="271" w:name="_Toc191716682"/>
      <w:bookmarkStart w:id="272" w:name="_Toc120020528"/>
      <w:bookmarkStart w:id="273" w:name="_Toc120019341"/>
      <w:bookmarkStart w:id="274" w:name="_Toc120024394"/>
      <w:bookmarkStart w:id="275" w:name="_Toc156638151"/>
      <w:bookmarkStart w:id="276" w:name="_Toc209405322"/>
      <w:bookmarkStart w:id="277" w:name="_Toc208715944"/>
      <w:bookmarkStart w:id="278" w:name="_Toc210185830"/>
      <w:bookmarkStart w:id="279" w:name="_Toc208720654"/>
      <w:r>
        <w:rPr>
          <w:rFonts w:hint="eastAsia"/>
        </w:rPr>
        <w:t>投标文件样式</w:t>
      </w:r>
      <w:bookmarkEnd w:id="256"/>
      <w:bookmarkEnd w:id="257"/>
      <w:bookmarkEnd w:id="258"/>
      <w:bookmarkEnd w:id="259"/>
      <w:bookmarkEnd w:id="260"/>
      <w:bookmarkEnd w:id="261"/>
      <w:bookmarkEnd w:id="262"/>
      <w:bookmarkEnd w:id="263"/>
      <w:bookmarkEnd w:id="264"/>
      <w:bookmarkEnd w:id="265"/>
      <w:bookmarkEnd w:id="266"/>
    </w:p>
    <w:p>
      <w:pPr>
        <w:pStyle w:val="61"/>
        <w:ind w:firstLine="0" w:firstLineChars="0"/>
        <w:outlineLvl w:val="1"/>
        <w:rPr>
          <w:rFonts w:hint="eastAsia"/>
        </w:rPr>
      </w:pPr>
      <w:bookmarkStart w:id="280" w:name="_Toc363059653"/>
      <w:bookmarkStart w:id="281" w:name="_Toc363127803"/>
      <w:bookmarkStart w:id="282" w:name="_Toc363128943"/>
      <w:bookmarkStart w:id="283" w:name="_Toc9397"/>
      <w:bookmarkStart w:id="284" w:name="_Toc363134241"/>
      <w:bookmarkStart w:id="285" w:name="_Toc363454542"/>
      <w:bookmarkStart w:id="286" w:name="_Toc363125349"/>
      <w:r>
        <w:rPr>
          <w:rFonts w:hint="eastAsia"/>
        </w:rPr>
        <w:t>格式Ⅳ-1．1投标文件封皮样式</w:t>
      </w:r>
      <w:bookmarkEnd w:id="280"/>
      <w:bookmarkEnd w:id="281"/>
      <w:bookmarkEnd w:id="282"/>
      <w:bookmarkEnd w:id="283"/>
      <w:bookmarkEnd w:id="284"/>
      <w:bookmarkEnd w:id="285"/>
      <w:bookmarkEnd w:id="286"/>
    </w:p>
    <w:p>
      <w:pPr>
        <w:jc w:val="right"/>
        <w:rPr>
          <w:rFonts w:hint="eastAsia"/>
          <w:b/>
          <w:sz w:val="28"/>
          <w:szCs w:val="28"/>
        </w:rPr>
      </w:pPr>
    </w:p>
    <w:p>
      <w:pPr>
        <w:widowControl/>
        <w:spacing w:line="600" w:lineRule="atLeast"/>
        <w:jc w:val="center"/>
        <w:rPr>
          <w:rFonts w:hint="eastAsia" w:ascii="方正仿宋简体" w:eastAsia="方正仿宋简体"/>
          <w:sz w:val="28"/>
          <w:szCs w:val="28"/>
        </w:rPr>
      </w:pPr>
    </w:p>
    <w:p>
      <w:pPr>
        <w:ind w:firstLine="1626" w:firstLineChars="450"/>
        <w:rPr>
          <w:rFonts w:hint="eastAsia"/>
          <w:b/>
          <w:sz w:val="36"/>
          <w:szCs w:val="36"/>
          <w:u w:val="single"/>
        </w:rPr>
      </w:pPr>
      <w:r>
        <w:rPr>
          <w:rFonts w:hint="eastAsia"/>
          <w:b/>
          <w:sz w:val="36"/>
          <w:szCs w:val="36"/>
        </w:rPr>
        <w:t>XXXXXXXXXXXXXXX（项目名称）</w:t>
      </w:r>
    </w:p>
    <w:p>
      <w:pPr>
        <w:rPr>
          <w:rFonts w:hint="eastAsia" w:ascii="方正仿宋简体" w:eastAsia="方正仿宋简体"/>
          <w:b/>
          <w:szCs w:val="21"/>
        </w:rPr>
      </w:pPr>
    </w:p>
    <w:p>
      <w:pPr>
        <w:spacing w:line="480" w:lineRule="auto"/>
        <w:jc w:val="center"/>
        <w:rPr>
          <w:rFonts w:hint="eastAsia"/>
          <w:b/>
          <w:sz w:val="36"/>
          <w:szCs w:val="36"/>
        </w:rPr>
      </w:pPr>
      <w:r>
        <w:rPr>
          <w:rFonts w:hint="eastAsia"/>
          <w:b/>
          <w:sz w:val="36"/>
          <w:szCs w:val="36"/>
        </w:rPr>
        <w:t>投   标   文   件</w:t>
      </w:r>
    </w:p>
    <w:p>
      <w:pPr>
        <w:spacing w:line="360" w:lineRule="auto"/>
        <w:ind w:left="899" w:leftChars="428" w:firstLine="1226" w:firstLineChars="407"/>
        <w:rPr>
          <w:rFonts w:hint="eastAsia"/>
          <w:b/>
          <w:sz w:val="30"/>
          <w:szCs w:val="30"/>
        </w:rPr>
      </w:pPr>
    </w:p>
    <w:p>
      <w:pPr>
        <w:spacing w:line="360" w:lineRule="auto"/>
        <w:ind w:left="899" w:leftChars="428" w:firstLine="1226" w:firstLineChars="407"/>
        <w:rPr>
          <w:rFonts w:hint="eastAsia" w:ascii="方正仿宋简体" w:hAnsi="宋体" w:eastAsia="方正仿宋简体" w:cs="宋体"/>
          <w:b/>
          <w:sz w:val="30"/>
          <w:szCs w:val="30"/>
        </w:rPr>
      </w:pPr>
      <w:r>
        <w:rPr>
          <w:rFonts w:hint="eastAsia"/>
          <w:b/>
          <w:sz w:val="30"/>
          <w:szCs w:val="30"/>
        </w:rPr>
        <w:t>编号：</w:t>
      </w:r>
      <w:r>
        <w:rPr>
          <w:rFonts w:hint="eastAsia" w:ascii="方正仿宋简体" w:hAnsi="宋体" w:eastAsia="方正仿宋简体" w:cs="宋体"/>
          <w:b/>
          <w:sz w:val="30"/>
          <w:szCs w:val="30"/>
        </w:rPr>
        <w:t>XXXX</w:t>
      </w:r>
    </w:p>
    <w:p>
      <w:pPr>
        <w:spacing w:line="360" w:lineRule="auto"/>
        <w:ind w:firstLine="2080" w:firstLineChars="740"/>
        <w:rPr>
          <w:rFonts w:hint="eastAsia"/>
          <w:b/>
          <w:sz w:val="28"/>
          <w:szCs w:val="28"/>
        </w:rPr>
      </w:pPr>
      <w:r>
        <w:rPr>
          <w:rFonts w:hint="eastAsia"/>
          <w:b/>
          <w:sz w:val="28"/>
          <w:szCs w:val="28"/>
        </w:rPr>
        <w:t>包别号：XXXX</w:t>
      </w:r>
    </w:p>
    <w:p>
      <w:pPr>
        <w:spacing w:line="360" w:lineRule="auto"/>
        <w:ind w:left="899" w:leftChars="428" w:firstLine="2415" w:firstLineChars="1150"/>
        <w:rPr>
          <w:rFonts w:hint="eastAsia"/>
        </w:rPr>
      </w:pPr>
    </w:p>
    <w:p>
      <w:pPr>
        <w:spacing w:line="760" w:lineRule="exact"/>
        <w:ind w:left="899" w:leftChars="428"/>
        <w:rPr>
          <w:rFonts w:hint="eastAsia"/>
          <w:b/>
          <w:sz w:val="28"/>
          <w:szCs w:val="28"/>
        </w:rPr>
      </w:pPr>
      <w:r>
        <w:rPr>
          <w:rFonts w:hint="eastAsia"/>
          <w:b/>
          <w:sz w:val="28"/>
          <w:szCs w:val="28"/>
        </w:rPr>
        <w:t>招标人：辽河石油勘探局有限公司物资分公司</w:t>
      </w:r>
    </w:p>
    <w:p>
      <w:pPr>
        <w:spacing w:line="480" w:lineRule="auto"/>
        <w:ind w:left="899" w:leftChars="428"/>
        <w:rPr>
          <w:rFonts w:hint="eastAsia"/>
          <w:b/>
          <w:color w:val="FF0000"/>
          <w:sz w:val="28"/>
          <w:szCs w:val="28"/>
          <w:highlight w:val="yellow"/>
        </w:rPr>
      </w:pPr>
      <w:r>
        <w:rPr>
          <w:rFonts w:hint="eastAsia"/>
          <w:b/>
          <w:sz w:val="28"/>
          <w:szCs w:val="28"/>
        </w:rPr>
        <w:t>投标单位：XXXXXXXXXXXXX（公章）</w:t>
      </w:r>
    </w:p>
    <w:p>
      <w:pPr>
        <w:spacing w:line="480" w:lineRule="auto"/>
        <w:ind w:left="899" w:leftChars="428"/>
        <w:rPr>
          <w:rFonts w:hint="eastAsia"/>
          <w:b/>
          <w:sz w:val="28"/>
          <w:szCs w:val="28"/>
        </w:rPr>
      </w:pPr>
      <w:r>
        <w:rPr>
          <w:rFonts w:hint="eastAsia"/>
          <w:b/>
          <w:sz w:val="28"/>
          <w:szCs w:val="28"/>
        </w:rPr>
        <w:t>联系人：XXX</w:t>
      </w:r>
    </w:p>
    <w:p>
      <w:pPr>
        <w:spacing w:line="480" w:lineRule="auto"/>
        <w:ind w:left="899" w:leftChars="428"/>
        <w:rPr>
          <w:rFonts w:hint="eastAsia"/>
          <w:b/>
          <w:sz w:val="28"/>
          <w:szCs w:val="28"/>
        </w:rPr>
      </w:pPr>
      <w:r>
        <w:rPr>
          <w:rFonts w:hint="eastAsia"/>
          <w:b/>
          <w:sz w:val="28"/>
          <w:szCs w:val="28"/>
        </w:rPr>
        <w:t>联系电话：XXXXXXXXXXX</w:t>
      </w:r>
    </w:p>
    <w:p>
      <w:pPr>
        <w:spacing w:line="480" w:lineRule="auto"/>
        <w:ind w:left="899" w:leftChars="428"/>
        <w:rPr>
          <w:rFonts w:hint="eastAsia"/>
          <w:b/>
          <w:sz w:val="28"/>
          <w:szCs w:val="28"/>
        </w:rPr>
      </w:pPr>
      <w:r>
        <w:rPr>
          <w:rFonts w:hint="eastAsia"/>
          <w:b/>
          <w:sz w:val="28"/>
          <w:szCs w:val="28"/>
        </w:rPr>
        <w:t>传真：XXXX-XXXXXXX</w:t>
      </w:r>
    </w:p>
    <w:p>
      <w:pPr>
        <w:spacing w:line="480" w:lineRule="auto"/>
        <w:ind w:left="899" w:leftChars="428"/>
        <w:rPr>
          <w:rFonts w:hint="eastAsia"/>
          <w:b/>
          <w:sz w:val="28"/>
          <w:szCs w:val="28"/>
        </w:rPr>
      </w:pPr>
      <w:r>
        <w:rPr>
          <w:rFonts w:hint="eastAsia"/>
          <w:b/>
          <w:sz w:val="28"/>
          <w:szCs w:val="28"/>
        </w:rPr>
        <w:t>电子邮箱：XXXXXX@XXXX.com.cn</w:t>
      </w:r>
    </w:p>
    <w:p>
      <w:pPr>
        <w:spacing w:line="480" w:lineRule="auto"/>
        <w:ind w:left="899" w:leftChars="428"/>
        <w:rPr>
          <w:rFonts w:hint="eastAsia"/>
          <w:b/>
          <w:sz w:val="28"/>
          <w:szCs w:val="28"/>
        </w:rPr>
      </w:pPr>
      <w:r>
        <w:rPr>
          <w:rFonts w:hint="eastAsia"/>
          <w:b/>
          <w:sz w:val="28"/>
          <w:szCs w:val="28"/>
        </w:rPr>
        <w:t>地址：XXXXXXXXXXXX</w:t>
      </w:r>
    </w:p>
    <w:p>
      <w:pPr>
        <w:spacing w:line="480" w:lineRule="auto"/>
        <w:ind w:left="899" w:leftChars="428"/>
        <w:rPr>
          <w:rFonts w:hint="eastAsia"/>
          <w:b/>
          <w:sz w:val="28"/>
          <w:szCs w:val="28"/>
        </w:rPr>
      </w:pPr>
      <w:r>
        <w:rPr>
          <w:rFonts w:hint="eastAsia"/>
          <w:b/>
          <w:sz w:val="28"/>
          <w:szCs w:val="28"/>
        </w:rPr>
        <w:t>编制日期：XXXX年X月XX日</w:t>
      </w:r>
    </w:p>
    <w:p>
      <w:pPr>
        <w:spacing w:line="480" w:lineRule="auto"/>
        <w:ind w:left="899" w:leftChars="428"/>
        <w:rPr>
          <w:rFonts w:hint="eastAsia"/>
          <w:b/>
          <w:sz w:val="28"/>
          <w:szCs w:val="28"/>
        </w:rPr>
      </w:pPr>
    </w:p>
    <w:p>
      <w:pPr>
        <w:spacing w:line="480" w:lineRule="auto"/>
        <w:ind w:left="899" w:leftChars="428"/>
        <w:rPr>
          <w:rFonts w:hint="eastAsia"/>
          <w:b/>
          <w:sz w:val="28"/>
          <w:szCs w:val="28"/>
        </w:rPr>
      </w:pPr>
    </w:p>
    <w:p>
      <w:pPr>
        <w:spacing w:line="480" w:lineRule="auto"/>
        <w:ind w:left="899" w:leftChars="428"/>
        <w:rPr>
          <w:rFonts w:hint="eastAsia"/>
          <w:b/>
          <w:sz w:val="28"/>
          <w:szCs w:val="28"/>
        </w:rPr>
      </w:pPr>
    </w:p>
    <w:p>
      <w:pPr>
        <w:pStyle w:val="61"/>
        <w:ind w:firstLine="0" w:firstLineChars="0"/>
        <w:outlineLvl w:val="1"/>
        <w:rPr>
          <w:rFonts w:hint="eastAsia"/>
        </w:rPr>
      </w:pPr>
      <w:bookmarkStart w:id="287" w:name="_Toc363125350"/>
      <w:bookmarkStart w:id="288" w:name="_Toc363454543"/>
      <w:bookmarkStart w:id="289" w:name="_Toc363134242"/>
      <w:bookmarkStart w:id="290" w:name="_Toc723"/>
      <w:bookmarkStart w:id="291" w:name="_Toc363128944"/>
      <w:bookmarkStart w:id="292" w:name="_Toc363059654"/>
      <w:bookmarkStart w:id="293" w:name="_Toc363127804"/>
      <w:bookmarkStart w:id="294" w:name="_Toc347147504"/>
      <w:r>
        <w:rPr>
          <w:rFonts w:hint="eastAsia"/>
        </w:rPr>
        <w:t>格式Ⅳ-1．2投标文件目录样式</w:t>
      </w:r>
      <w:bookmarkEnd w:id="287"/>
      <w:bookmarkEnd w:id="288"/>
      <w:bookmarkEnd w:id="289"/>
      <w:bookmarkEnd w:id="290"/>
      <w:bookmarkEnd w:id="291"/>
      <w:bookmarkEnd w:id="292"/>
      <w:bookmarkEnd w:id="293"/>
    </w:p>
    <w:p>
      <w:pPr>
        <w:jc w:val="center"/>
        <w:rPr>
          <w:rFonts w:hint="eastAsia"/>
          <w:kern w:val="2"/>
        </w:rPr>
      </w:pPr>
      <w:bookmarkStart w:id="295" w:name="_Toc358150565"/>
      <w:r>
        <w:rPr>
          <w:rFonts w:hint="eastAsia"/>
          <w:kern w:val="2"/>
        </w:rPr>
        <w:t>目 录</w:t>
      </w:r>
      <w:bookmarkEnd w:id="294"/>
      <w:bookmarkEnd w:id="295"/>
    </w:p>
    <w:p>
      <w:pPr>
        <w:jc w:val="center"/>
        <w:rPr>
          <w:rFonts w:hint="eastAsia"/>
          <w:kern w:val="2"/>
        </w:rPr>
      </w:pPr>
    </w:p>
    <w:p>
      <w:pPr>
        <w:spacing w:line="400" w:lineRule="exact"/>
        <w:ind w:firstLine="105" w:firstLineChars="50"/>
        <w:rPr>
          <w:rFonts w:hint="eastAsia" w:hAnsi="宋体"/>
          <w:szCs w:val="21"/>
        </w:rPr>
      </w:pPr>
      <w:r>
        <w:rPr>
          <w:rFonts w:hint="eastAsia" w:hAnsi="宋体"/>
          <w:szCs w:val="21"/>
        </w:rPr>
        <w:t>一、资格证明文件--------------------------------------------------------页码</w:t>
      </w:r>
    </w:p>
    <w:p>
      <w:pPr>
        <w:pStyle w:val="23"/>
        <w:spacing w:line="400" w:lineRule="exact"/>
        <w:ind w:left="40" w:leftChars="19" w:firstLine="210" w:firstLineChars="100"/>
        <w:rPr>
          <w:rFonts w:hint="eastAsia" w:hAnsi="宋体"/>
        </w:rPr>
      </w:pPr>
      <w:r>
        <w:rPr>
          <w:rFonts w:hint="eastAsia" w:hAnsi="宋体"/>
        </w:rPr>
        <w:t>1、投标书--------------------------------------------------------------页码</w:t>
      </w:r>
    </w:p>
    <w:p>
      <w:pPr>
        <w:pStyle w:val="23"/>
        <w:spacing w:line="400" w:lineRule="exact"/>
        <w:ind w:left="40" w:leftChars="19" w:firstLine="210" w:firstLineChars="100"/>
        <w:rPr>
          <w:rFonts w:hint="eastAsia" w:hAnsi="宋体"/>
        </w:rPr>
      </w:pPr>
      <w:r>
        <w:rPr>
          <w:rFonts w:hint="eastAsia" w:hAnsi="宋体"/>
        </w:rPr>
        <w:t>2、法定代表人授权委托书------------------------------------------------页码</w:t>
      </w:r>
    </w:p>
    <w:p>
      <w:pPr>
        <w:pStyle w:val="23"/>
        <w:spacing w:line="400" w:lineRule="exact"/>
        <w:ind w:left="40" w:leftChars="19" w:firstLine="210" w:firstLineChars="100"/>
        <w:rPr>
          <w:rFonts w:hint="eastAsia" w:hAnsi="宋体"/>
        </w:rPr>
      </w:pPr>
      <w:r>
        <w:rPr>
          <w:rFonts w:hint="eastAsia" w:hAnsi="宋体"/>
        </w:rPr>
        <w:t>3、企业营业执照--------------------------------------------------------页码</w:t>
      </w:r>
    </w:p>
    <w:p>
      <w:pPr>
        <w:pStyle w:val="23"/>
        <w:spacing w:line="400" w:lineRule="exact"/>
        <w:ind w:left="40" w:leftChars="19" w:firstLine="210" w:firstLineChars="100"/>
        <w:rPr>
          <w:rFonts w:hint="eastAsia" w:hAnsi="宋体"/>
        </w:rPr>
      </w:pPr>
      <w:r>
        <w:rPr>
          <w:rFonts w:hint="eastAsia" w:hAnsi="宋体"/>
        </w:rPr>
        <w:t>4、资格声明------------------------------------------------------------页码</w:t>
      </w:r>
    </w:p>
    <w:p>
      <w:pPr>
        <w:pStyle w:val="23"/>
        <w:spacing w:line="400" w:lineRule="exact"/>
        <w:ind w:left="40" w:leftChars="19" w:firstLine="210" w:firstLineChars="100"/>
        <w:rPr>
          <w:rFonts w:hint="eastAsia" w:hAnsi="宋体"/>
        </w:rPr>
      </w:pPr>
      <w:r>
        <w:rPr>
          <w:rFonts w:hint="eastAsia" w:hAnsi="宋体"/>
        </w:rPr>
        <w:t>5、………… -----------------------------------------------------------页码</w:t>
      </w:r>
    </w:p>
    <w:p>
      <w:pPr>
        <w:spacing w:line="400" w:lineRule="exact"/>
        <w:ind w:firstLine="105" w:firstLineChars="50"/>
        <w:rPr>
          <w:rFonts w:hint="eastAsia" w:hAnsi="宋体"/>
          <w:szCs w:val="21"/>
        </w:rPr>
      </w:pPr>
      <w:r>
        <w:rPr>
          <w:rFonts w:hint="eastAsia" w:hAnsi="宋体"/>
          <w:szCs w:val="21"/>
        </w:rPr>
        <w:t>二、技术投标文件</w:t>
      </w:r>
    </w:p>
    <w:p>
      <w:pPr>
        <w:pStyle w:val="23"/>
        <w:spacing w:line="400" w:lineRule="exact"/>
        <w:ind w:left="40" w:leftChars="19" w:firstLine="210" w:firstLineChars="100"/>
        <w:rPr>
          <w:rFonts w:hint="eastAsia" w:hAnsi="宋体"/>
        </w:rPr>
      </w:pPr>
      <w:r>
        <w:rPr>
          <w:rFonts w:hint="eastAsia" w:hAnsi="宋体"/>
        </w:rPr>
        <w:t>1、投标产品的执行标准   -----------------------------------------------页码</w:t>
      </w:r>
    </w:p>
    <w:p>
      <w:pPr>
        <w:pStyle w:val="23"/>
        <w:spacing w:line="400" w:lineRule="exact"/>
        <w:ind w:left="40" w:leftChars="19" w:firstLine="210" w:firstLineChars="100"/>
        <w:rPr>
          <w:rFonts w:hint="eastAsia" w:hAnsi="宋体"/>
        </w:rPr>
      </w:pPr>
      <w:r>
        <w:rPr>
          <w:rFonts w:hint="eastAsia" w:hAnsi="宋体"/>
        </w:rPr>
        <w:t>2、技术条款响应/偏离表 ------------------------------------------------页码</w:t>
      </w:r>
    </w:p>
    <w:p>
      <w:pPr>
        <w:pStyle w:val="23"/>
        <w:spacing w:line="400" w:lineRule="exact"/>
        <w:ind w:left="40" w:leftChars="19" w:firstLine="210" w:firstLineChars="100"/>
        <w:rPr>
          <w:rFonts w:hint="eastAsia" w:hAnsi="宋体"/>
        </w:rPr>
      </w:pPr>
      <w:r>
        <w:rPr>
          <w:rFonts w:hint="eastAsia" w:hAnsi="宋体"/>
        </w:rPr>
        <w:t>3、………… -----------------------------------------------------------页码</w:t>
      </w:r>
    </w:p>
    <w:p>
      <w:pPr>
        <w:spacing w:line="400" w:lineRule="exact"/>
        <w:ind w:firstLine="105" w:firstLineChars="50"/>
        <w:rPr>
          <w:rFonts w:hint="eastAsia" w:hAnsi="宋体"/>
          <w:szCs w:val="21"/>
        </w:rPr>
      </w:pPr>
      <w:r>
        <w:rPr>
          <w:rFonts w:hint="eastAsia" w:hAnsi="宋体"/>
          <w:szCs w:val="21"/>
        </w:rPr>
        <w:t>三、商务投标文件</w:t>
      </w:r>
    </w:p>
    <w:p>
      <w:pPr>
        <w:pStyle w:val="23"/>
        <w:spacing w:line="400" w:lineRule="exact"/>
        <w:rPr>
          <w:rFonts w:hint="eastAsia" w:hAnsi="宋体"/>
        </w:rPr>
      </w:pPr>
      <w:r>
        <w:rPr>
          <w:rFonts w:hint="eastAsia" w:hAnsi="宋体"/>
        </w:rPr>
        <w:t xml:space="preserve">  1、开标一览表----------------------------------------------------------页码</w:t>
      </w:r>
    </w:p>
    <w:p>
      <w:pPr>
        <w:pStyle w:val="23"/>
        <w:spacing w:line="400" w:lineRule="exact"/>
        <w:rPr>
          <w:rFonts w:hAnsi="宋体"/>
        </w:rPr>
      </w:pPr>
      <w:r>
        <w:rPr>
          <w:rFonts w:hint="eastAsia" w:hAnsi="宋体"/>
        </w:rPr>
        <w:t xml:space="preserve">  2、投标报价表----------------------------------------------------------页码</w:t>
      </w:r>
    </w:p>
    <w:p>
      <w:pPr>
        <w:spacing w:line="400" w:lineRule="exact"/>
        <w:rPr>
          <w:rFonts w:hint="eastAsia" w:hAnsi="宋体"/>
          <w:szCs w:val="21"/>
        </w:rPr>
      </w:pPr>
      <w:r>
        <w:rPr>
          <w:rFonts w:hint="eastAsia" w:hAnsi="宋体"/>
          <w:szCs w:val="21"/>
        </w:rPr>
        <w:t xml:space="preserve">  3、商务条款响应/偏离表 ------------------------------------------------页码</w:t>
      </w:r>
    </w:p>
    <w:p>
      <w:pPr>
        <w:spacing w:line="400" w:lineRule="exact"/>
        <w:ind w:firstLine="105" w:firstLineChars="50"/>
        <w:rPr>
          <w:rFonts w:hint="eastAsia" w:hAnsi="宋体"/>
          <w:szCs w:val="21"/>
        </w:rPr>
      </w:pPr>
      <w:r>
        <w:rPr>
          <w:rFonts w:hint="eastAsia" w:hAnsi="宋体"/>
          <w:szCs w:val="21"/>
        </w:rPr>
        <w:t xml:space="preserve"> 4、法律纠纷情况----------------------------------------------</w:t>
      </w:r>
      <w:r>
        <w:rPr>
          <w:rFonts w:hint="eastAsia" w:hAnsi="宋体"/>
        </w:rPr>
        <w:t>-</w:t>
      </w:r>
      <w:r>
        <w:rPr>
          <w:rFonts w:hint="eastAsia" w:hAnsi="宋体"/>
          <w:szCs w:val="21"/>
        </w:rPr>
        <w:t>---------页码</w:t>
      </w:r>
    </w:p>
    <w:p>
      <w:pPr>
        <w:spacing w:line="400" w:lineRule="exact"/>
        <w:ind w:firstLine="105" w:firstLineChars="50"/>
        <w:rPr>
          <w:rFonts w:hint="eastAsia" w:hAnsi="宋体"/>
          <w:szCs w:val="21"/>
        </w:rPr>
      </w:pPr>
      <w:r>
        <w:rPr>
          <w:rFonts w:hint="eastAsia" w:hAnsi="宋体"/>
          <w:szCs w:val="21"/>
        </w:rPr>
        <w:t xml:space="preserve"> 5、机密信息接收承诺函--------------------------------------------------页码</w:t>
      </w:r>
    </w:p>
    <w:p>
      <w:pPr>
        <w:spacing w:line="400" w:lineRule="exact"/>
        <w:rPr>
          <w:rFonts w:hint="eastAsia" w:hAnsi="宋体"/>
          <w:szCs w:val="21"/>
        </w:rPr>
      </w:pPr>
      <w:r>
        <w:rPr>
          <w:rFonts w:hint="eastAsia" w:hAnsi="宋体"/>
          <w:szCs w:val="21"/>
        </w:rPr>
        <w:t xml:space="preserve">  6、………… -----------------------------------------------------------页码</w:t>
      </w:r>
    </w:p>
    <w:p>
      <w:pPr>
        <w:spacing w:line="400" w:lineRule="exact"/>
        <w:ind w:firstLine="105" w:firstLineChars="50"/>
        <w:rPr>
          <w:rFonts w:hint="eastAsia" w:hAnsi="宋体"/>
          <w:szCs w:val="21"/>
        </w:rPr>
      </w:pPr>
    </w:p>
    <w:p>
      <w:pPr>
        <w:pStyle w:val="61"/>
        <w:ind w:firstLine="0" w:firstLineChars="0"/>
        <w:outlineLvl w:val="1"/>
        <w:rPr>
          <w:rFonts w:hint="eastAsia"/>
        </w:rPr>
      </w:pPr>
      <w:bookmarkStart w:id="296" w:name="_Toc204592934"/>
      <w:bookmarkStart w:id="297" w:name="_Toc307924166"/>
      <w:bookmarkStart w:id="298" w:name="_Toc244261274"/>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rPr>
          <w:rFonts w:hint="eastAsia"/>
        </w:rPr>
      </w:pPr>
    </w:p>
    <w:p>
      <w:pPr>
        <w:pStyle w:val="61"/>
        <w:ind w:firstLine="0" w:firstLineChars="0"/>
        <w:outlineLvl w:val="1"/>
      </w:pPr>
      <w:bookmarkStart w:id="299" w:name="_Toc363059655"/>
      <w:bookmarkStart w:id="300" w:name="_Toc363125351"/>
      <w:bookmarkStart w:id="301" w:name="_Toc363127805"/>
      <w:bookmarkStart w:id="302" w:name="_Toc363128945"/>
      <w:bookmarkStart w:id="303" w:name="_Toc363134243"/>
      <w:bookmarkStart w:id="304" w:name="_Toc363454544"/>
      <w:bookmarkStart w:id="305" w:name="_Toc24312"/>
      <w:r>
        <w:rPr>
          <w:rFonts w:hint="eastAsia"/>
        </w:rPr>
        <w:t>格式Ⅳ-2．投标书格式</w:t>
      </w:r>
      <w:bookmarkEnd w:id="296"/>
      <w:bookmarkEnd w:id="297"/>
      <w:bookmarkEnd w:id="298"/>
      <w:bookmarkEnd w:id="299"/>
      <w:bookmarkEnd w:id="300"/>
      <w:bookmarkEnd w:id="301"/>
      <w:bookmarkEnd w:id="302"/>
      <w:bookmarkEnd w:id="303"/>
      <w:bookmarkEnd w:id="304"/>
      <w:bookmarkEnd w:id="305"/>
    </w:p>
    <w:p>
      <w:pPr>
        <w:jc w:val="center"/>
        <w:rPr>
          <w:b/>
          <w:sz w:val="32"/>
          <w:szCs w:val="32"/>
        </w:rPr>
      </w:pPr>
      <w:bookmarkStart w:id="306" w:name="_Toc310252853"/>
      <w:bookmarkStart w:id="307" w:name="_Toc310252652"/>
      <w:r>
        <w:rPr>
          <w:rFonts w:hint="eastAsia"/>
          <w:b/>
          <w:sz w:val="32"/>
          <w:szCs w:val="32"/>
        </w:rPr>
        <w:t>投</w:t>
      </w:r>
      <w:r>
        <w:rPr>
          <w:b/>
          <w:sz w:val="32"/>
          <w:szCs w:val="32"/>
        </w:rPr>
        <w:t xml:space="preserve"> </w:t>
      </w:r>
      <w:r>
        <w:rPr>
          <w:rFonts w:hint="eastAsia"/>
          <w:b/>
          <w:sz w:val="32"/>
          <w:szCs w:val="32"/>
        </w:rPr>
        <w:t>标</w:t>
      </w:r>
      <w:r>
        <w:rPr>
          <w:b/>
          <w:sz w:val="32"/>
          <w:szCs w:val="32"/>
        </w:rPr>
        <w:t xml:space="preserve"> </w:t>
      </w:r>
      <w:r>
        <w:rPr>
          <w:rFonts w:hint="eastAsia"/>
          <w:b/>
          <w:sz w:val="32"/>
          <w:szCs w:val="32"/>
        </w:rPr>
        <w:t>书</w:t>
      </w:r>
      <w:bookmarkEnd w:id="306"/>
      <w:bookmarkEnd w:id="307"/>
    </w:p>
    <w:p>
      <w:pPr>
        <w:pStyle w:val="61"/>
        <w:spacing w:line="400" w:lineRule="exact"/>
        <w:ind w:firstLine="0" w:firstLineChars="0"/>
      </w:pPr>
      <w:r>
        <w:rPr>
          <w:rFonts w:hint="eastAsia"/>
        </w:rPr>
        <w:t>致：（招标机构或招标人）</w:t>
      </w:r>
    </w:p>
    <w:p>
      <w:pPr>
        <w:pStyle w:val="61"/>
        <w:spacing w:line="400" w:lineRule="exact"/>
      </w:pPr>
      <w:r>
        <w:rPr>
          <w:rFonts w:hint="eastAsia"/>
        </w:rPr>
        <w:t>根据贵方（</w:t>
      </w:r>
      <w:r>
        <w:rPr>
          <w:rFonts w:hint="eastAsia"/>
          <w:u w:val="single"/>
        </w:rPr>
        <w:t>项目名称</w:t>
      </w:r>
      <w:r>
        <w:rPr>
          <w:rFonts w:hint="eastAsia"/>
        </w:rPr>
        <w:t>）项目招标采购产品及服务的（</w:t>
      </w:r>
      <w:r>
        <w:rPr>
          <w:rFonts w:hint="eastAsia"/>
          <w:u w:val="single"/>
        </w:rPr>
        <w:t>招标编号</w:t>
      </w:r>
      <w:r>
        <w:rPr>
          <w:rFonts w:hint="eastAsia"/>
        </w:rPr>
        <w:t>）招标文件，授权人代表投标人（</w:t>
      </w:r>
      <w:r>
        <w:rPr>
          <w:rFonts w:hint="eastAsia"/>
          <w:u w:val="single"/>
        </w:rPr>
        <w:t>投标人名称</w:t>
      </w:r>
      <w:r>
        <w:rPr>
          <w:rFonts w:hint="eastAsia"/>
        </w:rPr>
        <w:t>）提交下述文件：</w:t>
      </w:r>
      <w:r>
        <w:t xml:space="preserve"> </w:t>
      </w:r>
    </w:p>
    <w:p>
      <w:pPr>
        <w:pStyle w:val="61"/>
        <w:spacing w:line="400" w:lineRule="exact"/>
      </w:pPr>
      <w:r>
        <w:t>1.</w:t>
      </w:r>
      <w:r>
        <w:tab/>
      </w:r>
      <w:r>
        <w:rPr>
          <w:rFonts w:hint="eastAsia"/>
        </w:rPr>
        <w:t>资格证明文件</w:t>
      </w:r>
    </w:p>
    <w:p>
      <w:pPr>
        <w:pStyle w:val="61"/>
        <w:spacing w:line="400" w:lineRule="exact"/>
        <w:rPr>
          <w:rFonts w:hint="eastAsia"/>
        </w:rPr>
      </w:pPr>
      <w:r>
        <w:rPr>
          <w:rFonts w:hint="eastAsia"/>
        </w:rPr>
        <w:t>2</w:t>
      </w:r>
      <w:r>
        <w:t>.</w:t>
      </w:r>
      <w:r>
        <w:tab/>
      </w:r>
      <w:r>
        <w:rPr>
          <w:rFonts w:hint="eastAsia"/>
        </w:rPr>
        <w:t>技术投标文件</w:t>
      </w:r>
    </w:p>
    <w:p>
      <w:pPr>
        <w:pStyle w:val="61"/>
        <w:spacing w:line="400" w:lineRule="exact"/>
        <w:rPr>
          <w:rFonts w:hint="eastAsia"/>
        </w:rPr>
      </w:pPr>
      <w:r>
        <w:rPr>
          <w:rFonts w:hint="eastAsia"/>
        </w:rPr>
        <w:t>3</w:t>
      </w:r>
      <w:r>
        <w:t>.</w:t>
      </w:r>
      <w:r>
        <w:tab/>
      </w:r>
      <w:r>
        <w:rPr>
          <w:rFonts w:hint="eastAsia"/>
        </w:rPr>
        <w:t>商务投标文件</w:t>
      </w:r>
    </w:p>
    <w:p>
      <w:pPr>
        <w:pStyle w:val="61"/>
        <w:spacing w:line="400" w:lineRule="exact"/>
      </w:pPr>
      <w:r>
        <w:rPr>
          <w:rFonts w:hint="eastAsia"/>
        </w:rPr>
        <w:t>4</w:t>
      </w:r>
      <w:r>
        <w:t>.</w:t>
      </w:r>
      <w:r>
        <w:tab/>
      </w:r>
      <w:r>
        <w:rPr>
          <w:rFonts w:hint="eastAsia"/>
        </w:rPr>
        <w:t>其它按招标文件投标人须知和技术规格要求提供的有关文件</w:t>
      </w:r>
    </w:p>
    <w:p>
      <w:pPr>
        <w:pStyle w:val="61"/>
        <w:spacing w:line="400" w:lineRule="exact"/>
      </w:pPr>
      <w:r>
        <w:rPr>
          <w:rFonts w:hint="eastAsia"/>
        </w:rPr>
        <w:t>在此，签字代表宣布同意如下：</w:t>
      </w:r>
    </w:p>
    <w:p>
      <w:pPr>
        <w:pStyle w:val="61"/>
        <w:spacing w:line="400" w:lineRule="exact"/>
        <w:ind w:left="840" w:leftChars="200" w:hanging="420" w:hangingChars="200"/>
      </w:pPr>
      <w:r>
        <w:t>1.</w:t>
      </w:r>
      <w:r>
        <w:rPr>
          <w:rFonts w:hint="eastAsia"/>
        </w:rPr>
        <w:t xml:space="preserve"> 所附投标价格表中规定的应提交和交付的产品共</w:t>
      </w:r>
      <w:r>
        <w:rPr>
          <w:rFonts w:hint="eastAsia"/>
          <w:u w:val="single"/>
        </w:rPr>
        <w:t xml:space="preserve">        </w:t>
      </w:r>
      <w:r>
        <w:rPr>
          <w:rFonts w:hint="eastAsia"/>
        </w:rPr>
        <w:t>项，投标单价详见投标报价表。</w:t>
      </w:r>
    </w:p>
    <w:p>
      <w:pPr>
        <w:pStyle w:val="61"/>
        <w:spacing w:line="400" w:lineRule="exact"/>
      </w:pPr>
      <w:r>
        <w:t>2.</w:t>
      </w:r>
      <w:r>
        <w:tab/>
      </w:r>
      <w:r>
        <w:rPr>
          <w:rFonts w:hint="eastAsia"/>
        </w:rPr>
        <w:t>投标人将按招标文件的规定履行合同责任和义务。</w:t>
      </w:r>
    </w:p>
    <w:p>
      <w:pPr>
        <w:pStyle w:val="61"/>
        <w:spacing w:line="400" w:lineRule="exact"/>
      </w:pPr>
      <w:r>
        <w:t>3.</w:t>
      </w:r>
      <w:r>
        <w:tab/>
      </w:r>
      <w:r>
        <w:rPr>
          <w:rFonts w:hint="eastAsia"/>
        </w:rPr>
        <w:t>投标人已详细审查全部招标文件，包括（补遗文件）（如果有的话）。我们完全理解并同意放弃对这方面有不明及误解的权力。</w:t>
      </w:r>
    </w:p>
    <w:p>
      <w:pPr>
        <w:pStyle w:val="61"/>
        <w:spacing w:line="400" w:lineRule="exact"/>
      </w:pPr>
      <w:r>
        <w:t>4.</w:t>
      </w:r>
      <w:r>
        <w:tab/>
      </w:r>
      <w:r>
        <w:rPr>
          <w:rFonts w:hint="eastAsia"/>
        </w:rPr>
        <w:t>本投标有效期为自投标截止日起</w:t>
      </w:r>
      <w:r>
        <w:rPr>
          <w:rFonts w:hint="eastAsia"/>
          <w:u w:val="single"/>
        </w:rPr>
        <w:t xml:space="preserve"> 90 个 </w:t>
      </w:r>
      <w:r>
        <w:rPr>
          <w:rFonts w:hint="eastAsia"/>
        </w:rPr>
        <w:t>日历日。</w:t>
      </w:r>
    </w:p>
    <w:p>
      <w:pPr>
        <w:pStyle w:val="61"/>
        <w:spacing w:line="400" w:lineRule="exact"/>
      </w:pPr>
      <w:r>
        <w:t>5.</w:t>
      </w:r>
      <w:r>
        <w:tab/>
      </w:r>
      <w:r>
        <w:rPr>
          <w:rFonts w:hint="eastAsia"/>
        </w:rPr>
        <w:t>投标人同意投标人须知中关于不退还投标保证金的规定。</w:t>
      </w:r>
    </w:p>
    <w:p>
      <w:pPr>
        <w:pStyle w:val="61"/>
        <w:spacing w:line="400" w:lineRule="exact"/>
      </w:pPr>
      <w:r>
        <w:t>6.</w:t>
      </w:r>
      <w:r>
        <w:tab/>
      </w:r>
      <w:r>
        <w:rPr>
          <w:rFonts w:hint="eastAsia"/>
        </w:rPr>
        <w:t>根据投标人须知规定，我方承诺，与买方聘请的为此项目提供咨询服务的公司及任何附属机构均无关联，我方不是买方的附属机构。</w:t>
      </w:r>
    </w:p>
    <w:p>
      <w:pPr>
        <w:pStyle w:val="61"/>
        <w:spacing w:line="400" w:lineRule="exact"/>
        <w:rPr>
          <w:rFonts w:hint="eastAsia"/>
        </w:rPr>
      </w:pPr>
      <w:r>
        <w:t>7.</w:t>
      </w:r>
      <w:r>
        <w:tab/>
      </w:r>
      <w:r>
        <w:rPr>
          <w:rFonts w:hint="eastAsia"/>
        </w:rPr>
        <w:t>投标人同意提供按照贵方可能要求的与其投标有关的一切数据或资料。完全理解贵方不一定接受最低价的投标。</w:t>
      </w:r>
    </w:p>
    <w:p>
      <w:pPr>
        <w:pStyle w:val="61"/>
        <w:spacing w:line="400" w:lineRule="exact"/>
        <w:ind w:firstLine="422"/>
        <w:rPr>
          <w:b/>
          <w:bCs/>
        </w:rPr>
      </w:pPr>
      <w:r>
        <w:rPr>
          <w:rFonts w:hint="eastAsia"/>
          <w:b/>
          <w:bCs/>
        </w:rPr>
        <w:t>8. 我方承诺一旦我方中标，同意由辽河石油勘探局有限公司物资分公司从货款中扣除招标代理服务费并转招标中心。</w:t>
      </w:r>
    </w:p>
    <w:p>
      <w:pPr>
        <w:pStyle w:val="61"/>
        <w:spacing w:line="400" w:lineRule="exact"/>
      </w:pPr>
      <w:r>
        <w:rPr>
          <w:rFonts w:hint="eastAsia"/>
        </w:rPr>
        <w:t>9</w:t>
      </w:r>
      <w:r>
        <w:t>.</w:t>
      </w:r>
      <w:r>
        <w:tab/>
      </w:r>
      <w:r>
        <w:rPr>
          <w:rFonts w:hint="eastAsia"/>
        </w:rPr>
        <w:t>与本投标有关的一切正式信函请寄：</w:t>
      </w:r>
    </w:p>
    <w:p>
      <w:pPr>
        <w:snapToGrid w:val="0"/>
        <w:spacing w:line="400" w:lineRule="exact"/>
        <w:ind w:left="822" w:hanging="822" w:hangingChars="257"/>
        <w:rPr>
          <w:rFonts w:ascii="方正仿宋简体" w:hAnsi="宋体" w:eastAsia="方正仿宋简体"/>
          <w:kern w:val="2"/>
          <w:sz w:val="32"/>
          <w:szCs w:val="32"/>
        </w:rPr>
      </w:pPr>
    </w:p>
    <w:p>
      <w:pPr>
        <w:pStyle w:val="61"/>
        <w:spacing w:line="400" w:lineRule="exact"/>
      </w:pPr>
      <w:r>
        <w:rPr>
          <w:rFonts w:hint="eastAsia"/>
        </w:rPr>
        <w:t>地址</w:t>
      </w:r>
      <w:r>
        <w:t>_________________________</w:t>
      </w:r>
      <w:r>
        <w:rPr>
          <w:rFonts w:hint="eastAsia"/>
        </w:rPr>
        <w:t>传真</w:t>
      </w:r>
      <w:r>
        <w:t>_________</w:t>
      </w:r>
    </w:p>
    <w:p>
      <w:pPr>
        <w:pStyle w:val="61"/>
        <w:spacing w:line="400" w:lineRule="exact"/>
      </w:pPr>
      <w:r>
        <w:rPr>
          <w:rFonts w:hint="eastAsia"/>
        </w:rPr>
        <w:t>电话</w:t>
      </w:r>
      <w:r>
        <w:t>_________________</w:t>
      </w:r>
      <w:r>
        <w:rPr>
          <w:rFonts w:hint="eastAsia"/>
        </w:rPr>
        <w:t>电子函件</w:t>
      </w:r>
      <w:r>
        <w:t>_______________</w:t>
      </w:r>
    </w:p>
    <w:p>
      <w:pPr>
        <w:snapToGrid w:val="0"/>
        <w:spacing w:line="400" w:lineRule="exact"/>
        <w:ind w:left="822" w:hanging="822" w:hangingChars="257"/>
        <w:rPr>
          <w:rFonts w:ascii="方正仿宋简体" w:hAnsi="宋体" w:eastAsia="方正仿宋简体"/>
          <w:kern w:val="2"/>
          <w:sz w:val="32"/>
          <w:szCs w:val="32"/>
        </w:rPr>
      </w:pPr>
    </w:p>
    <w:p>
      <w:pPr>
        <w:pStyle w:val="61"/>
        <w:spacing w:line="400" w:lineRule="exact"/>
        <w:rPr>
          <w:color w:val="FF0000"/>
          <w:highlight w:val="yellow"/>
        </w:rPr>
      </w:pPr>
      <w:r>
        <w:rPr>
          <w:rFonts w:hint="eastAsia"/>
        </w:rPr>
        <w:t>投标人代表签字</w:t>
      </w:r>
      <w:r>
        <w:t>_____________________</w:t>
      </w:r>
    </w:p>
    <w:p>
      <w:pPr>
        <w:pStyle w:val="61"/>
        <w:spacing w:line="400" w:lineRule="exact"/>
      </w:pPr>
      <w:r>
        <w:rPr>
          <w:rFonts w:hint="eastAsia"/>
        </w:rPr>
        <w:t>投标人名称</w:t>
      </w:r>
      <w:r>
        <w:t>_________________________</w:t>
      </w:r>
    </w:p>
    <w:p>
      <w:pPr>
        <w:pStyle w:val="61"/>
        <w:spacing w:line="400" w:lineRule="exact"/>
      </w:pPr>
      <w:r>
        <w:rPr>
          <w:rFonts w:hint="eastAsia"/>
        </w:rPr>
        <w:t>公章</w:t>
      </w:r>
      <w:r>
        <w:t>_______________________________</w:t>
      </w:r>
    </w:p>
    <w:p>
      <w:pPr>
        <w:pStyle w:val="61"/>
        <w:spacing w:line="400" w:lineRule="exact"/>
        <w:rPr>
          <w:rFonts w:hint="eastAsia"/>
        </w:rPr>
        <w:sectPr>
          <w:footerReference r:id="rId12" w:type="default"/>
          <w:pgSz w:w="11907" w:h="16840"/>
          <w:pgMar w:top="1418" w:right="1474" w:bottom="1418" w:left="1474" w:header="851" w:footer="992" w:gutter="0"/>
          <w:cols w:space="720" w:num="1"/>
          <w:docGrid w:type="lines" w:linePitch="318" w:charSpace="0"/>
        </w:sectPr>
      </w:pPr>
      <w:r>
        <w:rPr>
          <w:rFonts w:hint="eastAsia"/>
        </w:rPr>
        <w:t>日期</w:t>
      </w:r>
      <w:r>
        <w:t>_______________________________</w:t>
      </w:r>
      <w:bookmarkStart w:id="308" w:name="_Toc204592936"/>
      <w:bookmarkStart w:id="309" w:name="_Toc244261275"/>
    </w:p>
    <w:bookmarkEnd w:id="308"/>
    <w:bookmarkEnd w:id="309"/>
    <w:p>
      <w:pPr>
        <w:pStyle w:val="61"/>
        <w:ind w:firstLine="0" w:firstLineChars="0"/>
        <w:outlineLvl w:val="1"/>
      </w:pPr>
      <w:bookmarkStart w:id="310" w:name="_Toc363127806"/>
      <w:bookmarkStart w:id="311" w:name="_Toc25664"/>
      <w:bookmarkStart w:id="312" w:name="_Toc363125352"/>
      <w:bookmarkStart w:id="313" w:name="_Toc363059656"/>
      <w:bookmarkStart w:id="314" w:name="_Toc363134244"/>
      <w:bookmarkStart w:id="315" w:name="_Toc480210431"/>
      <w:bookmarkStart w:id="316" w:name="_Toc363128946"/>
      <w:bookmarkStart w:id="317" w:name="_Toc307924167"/>
      <w:bookmarkStart w:id="318" w:name="_Toc363454545"/>
      <w:bookmarkStart w:id="319" w:name="_Toc307924168"/>
      <w:bookmarkStart w:id="320" w:name="_Toc204592938"/>
      <w:bookmarkStart w:id="321" w:name="_Toc244261276"/>
      <w:bookmarkStart w:id="322" w:name="_Toc363134245"/>
      <w:bookmarkStart w:id="323" w:name="_Toc363059657"/>
      <w:bookmarkStart w:id="324" w:name="_Toc363128947"/>
      <w:bookmarkStart w:id="325" w:name="_Toc363125353"/>
      <w:bookmarkStart w:id="326" w:name="_Toc363454546"/>
      <w:bookmarkStart w:id="327" w:name="_Toc363127807"/>
      <w:r>
        <w:rPr>
          <w:rFonts w:hint="eastAsia"/>
        </w:rPr>
        <w:t>格式Ⅳ-3．开标一览表格式</w:t>
      </w:r>
      <w:bookmarkEnd w:id="310"/>
      <w:bookmarkEnd w:id="311"/>
      <w:bookmarkEnd w:id="312"/>
      <w:bookmarkEnd w:id="313"/>
      <w:bookmarkEnd w:id="314"/>
      <w:bookmarkEnd w:id="315"/>
      <w:bookmarkEnd w:id="316"/>
      <w:bookmarkEnd w:id="317"/>
      <w:bookmarkEnd w:id="318"/>
    </w:p>
    <w:p>
      <w:pPr>
        <w:jc w:val="center"/>
        <w:rPr>
          <w:b/>
          <w:sz w:val="32"/>
          <w:szCs w:val="32"/>
        </w:rPr>
      </w:pPr>
      <w:bookmarkStart w:id="328" w:name="_Toc310252855"/>
      <w:bookmarkStart w:id="329" w:name="_Toc310252654"/>
      <w:r>
        <w:rPr>
          <w:rFonts w:hint="eastAsia"/>
          <w:b/>
          <w:sz w:val="32"/>
          <w:szCs w:val="32"/>
        </w:rPr>
        <w:t>开标一览表</w:t>
      </w:r>
      <w:bookmarkEnd w:id="328"/>
      <w:bookmarkEnd w:id="329"/>
    </w:p>
    <w:p>
      <w:pPr>
        <w:pStyle w:val="61"/>
        <w:rPr>
          <w:rFonts w:hint="eastAsia"/>
          <w:szCs w:val="27"/>
          <w:u w:val="single"/>
        </w:rPr>
      </w:pPr>
      <w:r>
        <w:rPr>
          <w:rFonts w:hint="eastAsia"/>
        </w:rPr>
        <w:t>投标人名称：</w:t>
      </w:r>
      <w:r>
        <w:rPr>
          <w:u w:val="single"/>
        </w:rPr>
        <w:t xml:space="preserve">                                      </w:t>
      </w:r>
      <w:r>
        <w:rPr>
          <w:rFonts w:hint="eastAsia"/>
          <w:szCs w:val="27"/>
          <w:u w:val="single"/>
        </w:rPr>
        <w:t>（公章）</w:t>
      </w:r>
      <w:r>
        <w:rPr>
          <w:szCs w:val="27"/>
          <w:u w:val="single"/>
        </w:rPr>
        <w:t xml:space="preserve"> </w:t>
      </w:r>
      <w:r>
        <w:rPr>
          <w:szCs w:val="27"/>
        </w:rPr>
        <w:t xml:space="preserve">  </w:t>
      </w:r>
      <w:r>
        <w:rPr>
          <w:rFonts w:hint="eastAsia"/>
        </w:rPr>
        <w:t>招标编号：</w:t>
      </w:r>
      <w:r>
        <w:rPr>
          <w:u w:val="single"/>
        </w:rPr>
        <w:t xml:space="preserve">                           </w:t>
      </w:r>
      <w:r>
        <w:rPr>
          <w:szCs w:val="27"/>
          <w:u w:val="single"/>
        </w:rPr>
        <w:t xml:space="preserve">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2417"/>
        <w:gridCol w:w="1948"/>
        <w:gridCol w:w="1755"/>
        <w:gridCol w:w="1948"/>
        <w:gridCol w:w="1559"/>
        <w:gridCol w:w="17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88" w:hRule="atLeast"/>
        </w:trPr>
        <w:tc>
          <w:tcPr>
            <w:tcW w:w="893" w:type="dxa"/>
            <w:noWrap w:val="0"/>
            <w:vAlign w:val="center"/>
          </w:tcPr>
          <w:p>
            <w:pPr>
              <w:widowControl/>
              <w:spacing w:line="240" w:lineRule="auto"/>
              <w:jc w:val="center"/>
              <w:rPr>
                <w:rFonts w:hAnsi="宋体"/>
                <w:kern w:val="2"/>
                <w:szCs w:val="21"/>
              </w:rPr>
            </w:pPr>
            <w:r>
              <w:rPr>
                <w:rFonts w:hint="eastAsia" w:hAnsi="宋体"/>
                <w:kern w:val="2"/>
                <w:szCs w:val="21"/>
              </w:rPr>
              <w:t>序号</w:t>
            </w:r>
          </w:p>
        </w:tc>
        <w:tc>
          <w:tcPr>
            <w:tcW w:w="2417" w:type="dxa"/>
            <w:noWrap w:val="0"/>
            <w:vAlign w:val="center"/>
          </w:tcPr>
          <w:p>
            <w:pPr>
              <w:widowControl/>
              <w:spacing w:line="240" w:lineRule="auto"/>
              <w:jc w:val="center"/>
              <w:rPr>
                <w:rFonts w:hAnsi="宋体"/>
                <w:kern w:val="2"/>
                <w:szCs w:val="21"/>
              </w:rPr>
            </w:pPr>
            <w:r>
              <w:rPr>
                <w:rFonts w:hint="eastAsia" w:hAnsi="宋体"/>
                <w:kern w:val="2"/>
                <w:szCs w:val="21"/>
              </w:rPr>
              <w:t>招标项目名称</w:t>
            </w:r>
          </w:p>
        </w:tc>
        <w:tc>
          <w:tcPr>
            <w:tcW w:w="1948" w:type="dxa"/>
            <w:noWrap w:val="0"/>
            <w:vAlign w:val="center"/>
          </w:tcPr>
          <w:p>
            <w:pPr>
              <w:widowControl/>
              <w:spacing w:line="240" w:lineRule="auto"/>
              <w:jc w:val="center"/>
              <w:rPr>
                <w:rFonts w:hAnsi="宋体"/>
                <w:kern w:val="2"/>
                <w:szCs w:val="21"/>
              </w:rPr>
            </w:pPr>
            <w:r>
              <w:rPr>
                <w:rFonts w:hint="eastAsia" w:hAnsi="宋体"/>
                <w:kern w:val="2"/>
                <w:szCs w:val="21"/>
              </w:rPr>
              <w:t>投标总项数</w:t>
            </w:r>
          </w:p>
        </w:tc>
        <w:tc>
          <w:tcPr>
            <w:tcW w:w="1755" w:type="dxa"/>
            <w:noWrap w:val="0"/>
            <w:vAlign w:val="center"/>
          </w:tcPr>
          <w:p>
            <w:pPr>
              <w:widowControl/>
              <w:spacing w:line="240" w:lineRule="auto"/>
              <w:jc w:val="center"/>
              <w:rPr>
                <w:rFonts w:hAnsi="宋体"/>
                <w:kern w:val="2"/>
                <w:szCs w:val="21"/>
              </w:rPr>
            </w:pPr>
            <w:r>
              <w:rPr>
                <w:rFonts w:hint="eastAsia" w:hAnsi="宋体"/>
                <w:kern w:val="2"/>
                <w:szCs w:val="21"/>
              </w:rPr>
              <w:t>投标单价合计</w:t>
            </w:r>
            <w:r>
              <w:rPr>
                <w:rFonts w:hAnsi="宋体"/>
                <w:kern w:val="2"/>
                <w:szCs w:val="21"/>
              </w:rPr>
              <w:br w:type="textWrapping"/>
            </w:r>
            <w:r>
              <w:rPr>
                <w:rFonts w:hint="eastAsia" w:hAnsi="宋体"/>
                <w:kern w:val="2"/>
                <w:szCs w:val="21"/>
              </w:rPr>
              <w:t>（元）</w:t>
            </w:r>
          </w:p>
        </w:tc>
        <w:tc>
          <w:tcPr>
            <w:tcW w:w="1948" w:type="dxa"/>
            <w:noWrap w:val="0"/>
            <w:vAlign w:val="center"/>
          </w:tcPr>
          <w:p>
            <w:pPr>
              <w:widowControl/>
              <w:spacing w:line="240" w:lineRule="auto"/>
              <w:jc w:val="center"/>
              <w:rPr>
                <w:rFonts w:hint="eastAsia" w:hAnsi="宋体"/>
                <w:kern w:val="2"/>
                <w:szCs w:val="21"/>
              </w:rPr>
            </w:pPr>
            <w:r>
              <w:rPr>
                <w:rFonts w:hint="eastAsia" w:hAnsi="宋体"/>
                <w:kern w:val="2"/>
                <w:szCs w:val="21"/>
              </w:rPr>
              <w:t>投标保证金</w:t>
            </w:r>
          </w:p>
          <w:p>
            <w:pPr>
              <w:widowControl/>
              <w:spacing w:line="240" w:lineRule="auto"/>
              <w:jc w:val="center"/>
              <w:rPr>
                <w:rFonts w:hAnsi="宋体"/>
                <w:kern w:val="2"/>
                <w:szCs w:val="21"/>
              </w:rPr>
            </w:pPr>
            <w:r>
              <w:rPr>
                <w:rFonts w:hint="eastAsia" w:hAnsi="宋体"/>
                <w:kern w:val="2"/>
                <w:szCs w:val="21"/>
              </w:rPr>
              <w:t>金额（元）</w:t>
            </w:r>
          </w:p>
        </w:tc>
        <w:tc>
          <w:tcPr>
            <w:tcW w:w="1559" w:type="dxa"/>
            <w:noWrap w:val="0"/>
            <w:vAlign w:val="center"/>
          </w:tcPr>
          <w:p>
            <w:pPr>
              <w:widowControl/>
              <w:spacing w:line="240" w:lineRule="auto"/>
              <w:jc w:val="center"/>
              <w:rPr>
                <w:rFonts w:hint="eastAsia" w:hAnsi="宋体"/>
                <w:kern w:val="2"/>
                <w:szCs w:val="21"/>
              </w:rPr>
            </w:pPr>
            <w:r>
              <w:rPr>
                <w:rFonts w:hint="eastAsia" w:hAnsi="宋体"/>
                <w:kern w:val="2"/>
                <w:szCs w:val="21"/>
              </w:rPr>
              <w:t>交货时间</w:t>
            </w:r>
          </w:p>
        </w:tc>
        <w:tc>
          <w:tcPr>
            <w:tcW w:w="1752" w:type="dxa"/>
            <w:noWrap w:val="0"/>
            <w:vAlign w:val="center"/>
          </w:tcPr>
          <w:p>
            <w:pPr>
              <w:widowControl/>
              <w:spacing w:line="240" w:lineRule="auto"/>
              <w:jc w:val="center"/>
              <w:rPr>
                <w:rFonts w:hint="eastAsia" w:hAnsi="宋体"/>
                <w:kern w:val="2"/>
                <w:szCs w:val="21"/>
              </w:rPr>
            </w:pPr>
            <w:r>
              <w:rPr>
                <w:rFonts w:hint="eastAsia" w:hAnsi="宋体"/>
                <w:kern w:val="2"/>
                <w:szCs w:val="21"/>
              </w:rPr>
              <w:t>交货地点</w:t>
            </w:r>
          </w:p>
        </w:tc>
        <w:tc>
          <w:tcPr>
            <w:tcW w:w="1948" w:type="dxa"/>
            <w:noWrap w:val="0"/>
            <w:vAlign w:val="center"/>
          </w:tcPr>
          <w:p>
            <w:pPr>
              <w:widowControl/>
              <w:spacing w:line="240" w:lineRule="auto"/>
              <w:jc w:val="center"/>
              <w:rPr>
                <w:rFonts w:hAnsi="宋体"/>
                <w:kern w:val="2"/>
                <w:szCs w:val="21"/>
              </w:rPr>
            </w:pPr>
            <w:r>
              <w:rPr>
                <w:rFonts w:hint="eastAsia" w:hAnsi="宋体"/>
                <w:kern w:val="2"/>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152" w:hRule="atLeast"/>
        </w:trPr>
        <w:tc>
          <w:tcPr>
            <w:tcW w:w="893" w:type="dxa"/>
            <w:noWrap w:val="0"/>
            <w:vAlign w:val="center"/>
          </w:tcPr>
          <w:p>
            <w:pPr>
              <w:widowControl/>
              <w:spacing w:line="240" w:lineRule="auto"/>
              <w:jc w:val="center"/>
              <w:rPr>
                <w:rFonts w:hint="eastAsia" w:hAnsi="宋体"/>
                <w:kern w:val="2"/>
                <w:szCs w:val="21"/>
              </w:rPr>
            </w:pPr>
            <w:r>
              <w:rPr>
                <w:rFonts w:hint="eastAsia" w:hAnsi="宋体"/>
                <w:kern w:val="2"/>
                <w:szCs w:val="21"/>
              </w:rPr>
              <w:t>1</w:t>
            </w:r>
          </w:p>
        </w:tc>
        <w:tc>
          <w:tcPr>
            <w:tcW w:w="2417" w:type="dxa"/>
            <w:noWrap w:val="0"/>
            <w:vAlign w:val="center"/>
          </w:tcPr>
          <w:p>
            <w:pPr>
              <w:widowControl/>
              <w:spacing w:line="240" w:lineRule="auto"/>
              <w:jc w:val="center"/>
              <w:rPr>
                <w:rFonts w:hAnsi="宋体" w:cs="宋体"/>
                <w:b/>
                <w:bCs/>
                <w:kern w:val="2"/>
                <w:szCs w:val="21"/>
              </w:rPr>
            </w:pPr>
          </w:p>
        </w:tc>
        <w:tc>
          <w:tcPr>
            <w:tcW w:w="1948" w:type="dxa"/>
            <w:noWrap w:val="0"/>
            <w:vAlign w:val="center"/>
          </w:tcPr>
          <w:p>
            <w:pPr>
              <w:widowControl/>
              <w:spacing w:line="240" w:lineRule="auto"/>
              <w:jc w:val="center"/>
              <w:rPr>
                <w:rFonts w:hAnsi="宋体" w:cs="宋体"/>
                <w:b/>
                <w:bCs/>
                <w:kern w:val="2"/>
                <w:szCs w:val="21"/>
              </w:rPr>
            </w:pPr>
          </w:p>
        </w:tc>
        <w:tc>
          <w:tcPr>
            <w:tcW w:w="1755" w:type="dxa"/>
            <w:noWrap w:val="0"/>
            <w:vAlign w:val="center"/>
          </w:tcPr>
          <w:p>
            <w:pPr>
              <w:widowControl/>
              <w:spacing w:line="240" w:lineRule="auto"/>
              <w:jc w:val="center"/>
              <w:rPr>
                <w:rFonts w:hint="eastAsia" w:hAnsi="宋体"/>
                <w:b/>
                <w:kern w:val="2"/>
                <w:szCs w:val="21"/>
              </w:rPr>
            </w:pPr>
          </w:p>
        </w:tc>
        <w:tc>
          <w:tcPr>
            <w:tcW w:w="1948" w:type="dxa"/>
            <w:noWrap w:val="0"/>
            <w:vAlign w:val="center"/>
          </w:tcPr>
          <w:p>
            <w:pPr>
              <w:widowControl/>
              <w:spacing w:line="240" w:lineRule="auto"/>
              <w:jc w:val="center"/>
              <w:rPr>
                <w:rFonts w:hAnsi="宋体"/>
                <w:kern w:val="2"/>
                <w:szCs w:val="21"/>
              </w:rPr>
            </w:pPr>
          </w:p>
        </w:tc>
        <w:tc>
          <w:tcPr>
            <w:tcW w:w="1559" w:type="dxa"/>
            <w:noWrap w:val="0"/>
            <w:vAlign w:val="center"/>
          </w:tcPr>
          <w:p>
            <w:pPr>
              <w:widowControl/>
              <w:spacing w:line="240" w:lineRule="auto"/>
              <w:jc w:val="center"/>
              <w:rPr>
                <w:rFonts w:hAnsi="宋体"/>
                <w:kern w:val="2"/>
                <w:szCs w:val="21"/>
              </w:rPr>
            </w:pPr>
          </w:p>
        </w:tc>
        <w:tc>
          <w:tcPr>
            <w:tcW w:w="1752" w:type="dxa"/>
            <w:noWrap w:val="0"/>
            <w:vAlign w:val="center"/>
          </w:tcPr>
          <w:p>
            <w:pPr>
              <w:widowControl/>
              <w:spacing w:line="240" w:lineRule="auto"/>
              <w:jc w:val="center"/>
              <w:rPr>
                <w:rFonts w:hAnsi="宋体"/>
                <w:kern w:val="2"/>
                <w:szCs w:val="21"/>
              </w:rPr>
            </w:pPr>
          </w:p>
        </w:tc>
        <w:tc>
          <w:tcPr>
            <w:tcW w:w="1948" w:type="dxa"/>
            <w:noWrap w:val="0"/>
            <w:vAlign w:val="center"/>
          </w:tcPr>
          <w:p>
            <w:pPr>
              <w:widowControl/>
              <w:spacing w:line="240" w:lineRule="auto"/>
              <w:jc w:val="center"/>
              <w:rPr>
                <w:rFonts w:hint="eastAsia" w:hAnsi="宋体"/>
                <w:kern w:val="2"/>
                <w:szCs w:val="21"/>
              </w:rPr>
            </w:pPr>
          </w:p>
        </w:tc>
      </w:tr>
    </w:tbl>
    <w:p>
      <w:pPr>
        <w:pStyle w:val="61"/>
        <w:rPr>
          <w:rFonts w:hint="eastAsia"/>
          <w:szCs w:val="27"/>
          <w:u w:val="single"/>
        </w:rPr>
      </w:pPr>
    </w:p>
    <w:p>
      <w:pPr>
        <w:spacing w:line="560" w:lineRule="exact"/>
        <w:rPr>
          <w:rFonts w:ascii="方正仿宋简体" w:hAnsi="宋体" w:eastAsia="方正仿宋简体"/>
          <w:strike/>
          <w:kern w:val="2"/>
          <w:sz w:val="31"/>
          <w:szCs w:val="32"/>
        </w:rPr>
      </w:pPr>
      <w:r>
        <w:rPr>
          <w:rFonts w:hint="eastAsia"/>
        </w:rPr>
        <w:t>注：投标保证金、交货期、交货地点如不满足招标文件要求将视为实质性不响应。</w:t>
      </w:r>
    </w:p>
    <w:p>
      <w:pPr>
        <w:spacing w:line="560" w:lineRule="exact"/>
        <w:rPr>
          <w:rFonts w:hint="eastAsia"/>
        </w:rPr>
      </w:pPr>
    </w:p>
    <w:p>
      <w:pPr>
        <w:pStyle w:val="61"/>
      </w:pPr>
      <w:r>
        <w:rPr>
          <w:rFonts w:hint="eastAsia"/>
        </w:rPr>
        <w:t>投标人代表签字</w:t>
      </w:r>
      <w:r>
        <w:t>_________________________</w:t>
      </w:r>
    </w:p>
    <w:p>
      <w:pPr>
        <w:pStyle w:val="61"/>
        <w:rPr>
          <w:rFonts w:hint="eastAsia"/>
        </w:rPr>
        <w:sectPr>
          <w:footerReference r:id="rId13" w:type="default"/>
          <w:pgSz w:w="16840" w:h="11907" w:orient="landscape"/>
          <w:pgMar w:top="1474" w:right="1418" w:bottom="1474" w:left="1418" w:header="851" w:footer="992" w:gutter="0"/>
          <w:cols w:space="720" w:num="1"/>
          <w:docGrid w:type="lines" w:linePitch="289" w:charSpace="0"/>
        </w:sectPr>
      </w:pPr>
    </w:p>
    <w:p>
      <w:pPr>
        <w:pStyle w:val="61"/>
        <w:ind w:firstLine="0" w:firstLineChars="0"/>
        <w:outlineLvl w:val="1"/>
        <w:rPr>
          <w:rFonts w:hint="eastAsia"/>
        </w:rPr>
        <w:sectPr>
          <w:footerReference r:id="rId14" w:type="default"/>
          <w:pgSz w:w="11907" w:h="16840"/>
          <w:pgMar w:top="1474" w:right="1418" w:bottom="1474" w:left="1418" w:header="851" w:footer="992" w:gutter="0"/>
          <w:cols w:space="720" w:num="1"/>
          <w:docGrid w:type="lines" w:linePitch="286" w:charSpace="0"/>
        </w:sectPr>
      </w:pPr>
      <w:bookmarkStart w:id="330" w:name="_Toc20400"/>
      <w:r>
        <w:rPr>
          <w:rFonts w:hint="eastAsia"/>
        </w:rPr>
        <w:t>格式Ⅳ-4．</w:t>
      </w:r>
      <w:bookmarkEnd w:id="319"/>
      <w:bookmarkEnd w:id="320"/>
      <w:bookmarkEnd w:id="321"/>
      <w:r>
        <w:rPr>
          <w:rFonts w:hint="eastAsia"/>
        </w:rPr>
        <w:t>报价表格式</w:t>
      </w:r>
      <w:bookmarkEnd w:id="322"/>
      <w:bookmarkEnd w:id="323"/>
      <w:bookmarkEnd w:id="324"/>
      <w:bookmarkEnd w:id="325"/>
      <w:bookmarkEnd w:id="326"/>
      <w:bookmarkEnd w:id="327"/>
      <w:r>
        <w:rPr>
          <w:rFonts w:hint="eastAsia"/>
        </w:rPr>
        <w:t>详见附件3</w:t>
      </w:r>
      <w:bookmarkEnd w:id="330"/>
    </w:p>
    <w:p>
      <w:pPr>
        <w:pStyle w:val="61"/>
        <w:ind w:firstLine="0" w:firstLineChars="0"/>
        <w:outlineLvl w:val="1"/>
      </w:pPr>
      <w:bookmarkStart w:id="331" w:name="_Toc363059658"/>
      <w:bookmarkStart w:id="332" w:name="_Toc307924175"/>
      <w:bookmarkStart w:id="333" w:name="_Toc363454547"/>
      <w:bookmarkStart w:id="334" w:name="_Toc363125354"/>
      <w:bookmarkStart w:id="335" w:name="_Toc363127808"/>
      <w:bookmarkStart w:id="336" w:name="_Toc363128948"/>
      <w:bookmarkStart w:id="337" w:name="_Toc204592952"/>
      <w:bookmarkStart w:id="338" w:name="_Toc244261283"/>
      <w:bookmarkStart w:id="339" w:name="_Toc310252869"/>
      <w:bookmarkStart w:id="340" w:name="_Toc363134246"/>
      <w:bookmarkStart w:id="341" w:name="_Toc562"/>
      <w:r>
        <w:rPr>
          <w:rFonts w:hint="eastAsia"/>
        </w:rPr>
        <w:t>格式Ⅳ</w:t>
      </w:r>
      <w:r>
        <w:t>-</w:t>
      </w:r>
      <w:r>
        <w:rPr>
          <w:rFonts w:hint="eastAsia"/>
        </w:rPr>
        <w:t>5．技术条款响应/偏离表格式</w:t>
      </w:r>
      <w:bookmarkEnd w:id="331"/>
      <w:bookmarkEnd w:id="332"/>
      <w:bookmarkEnd w:id="333"/>
      <w:bookmarkEnd w:id="334"/>
      <w:bookmarkEnd w:id="335"/>
      <w:bookmarkEnd w:id="336"/>
      <w:bookmarkEnd w:id="337"/>
      <w:bookmarkEnd w:id="338"/>
      <w:bookmarkEnd w:id="339"/>
      <w:bookmarkEnd w:id="340"/>
      <w:bookmarkEnd w:id="341"/>
    </w:p>
    <w:p>
      <w:pPr>
        <w:jc w:val="center"/>
        <w:rPr>
          <w:b/>
          <w:sz w:val="32"/>
          <w:szCs w:val="32"/>
        </w:rPr>
      </w:pPr>
      <w:bookmarkStart w:id="342" w:name="_Toc310252870"/>
      <w:r>
        <w:rPr>
          <w:rFonts w:hint="eastAsia"/>
          <w:b/>
          <w:sz w:val="32"/>
          <w:szCs w:val="32"/>
        </w:rPr>
        <w:t>技术条款响应/偏离表</w:t>
      </w:r>
      <w:bookmarkEnd w:id="342"/>
    </w:p>
    <w:p>
      <w:pPr>
        <w:pStyle w:val="61"/>
      </w:pPr>
      <w:r>
        <w:rPr>
          <w:rFonts w:hint="eastAsia"/>
        </w:rPr>
        <w:t>投标人名称：</w:t>
      </w:r>
      <w:r>
        <w:rPr>
          <w:rFonts w:hint="eastAsia"/>
          <w:u w:val="single"/>
        </w:rPr>
        <w:t xml:space="preserve"> （公章）                  </w:t>
      </w:r>
    </w:p>
    <w:p>
      <w:pPr>
        <w:pStyle w:val="61"/>
      </w:pPr>
      <w:r>
        <w:rPr>
          <w:rFonts w:hint="eastAsia"/>
        </w:rPr>
        <w:t>招标编号：</w:t>
      </w:r>
      <w:r>
        <w:t>_______</w:t>
      </w:r>
      <w:r>
        <w:rPr>
          <w:u w:val="single"/>
        </w:rPr>
        <w:t>_</w:t>
      </w:r>
      <w:r>
        <w:rPr>
          <w:rFonts w:hint="eastAsia"/>
          <w:u w:val="single"/>
        </w:rPr>
        <w:t xml:space="preserve">               </w:t>
      </w:r>
      <w:r>
        <w:t xml:space="preserve">______     </w:t>
      </w:r>
      <w:r>
        <w:rPr>
          <w:rFonts w:hint="eastAsia"/>
        </w:rPr>
        <w:t xml:space="preserve">         包号：</w:t>
      </w:r>
      <w:r>
        <w:t>______________</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48"/>
        <w:gridCol w:w="1293"/>
        <w:gridCol w:w="1293"/>
        <w:gridCol w:w="1494"/>
        <w:gridCol w:w="1560"/>
        <w:gridCol w:w="1294"/>
        <w:gridCol w:w="12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jc w:val="center"/>
        </w:trPr>
        <w:tc>
          <w:tcPr>
            <w:tcW w:w="948" w:type="dxa"/>
            <w:tcBorders>
              <w:top w:val="single" w:color="auto" w:sz="8" w:space="0"/>
            </w:tcBorders>
            <w:noWrap w:val="0"/>
            <w:vAlign w:val="center"/>
          </w:tcPr>
          <w:p>
            <w:pPr>
              <w:jc w:val="center"/>
            </w:pPr>
            <w:r>
              <w:rPr>
                <w:rFonts w:hint="eastAsia"/>
              </w:rPr>
              <w:t>序号</w:t>
            </w:r>
          </w:p>
        </w:tc>
        <w:tc>
          <w:tcPr>
            <w:tcW w:w="1293" w:type="dxa"/>
            <w:tcBorders>
              <w:top w:val="single" w:color="auto" w:sz="8" w:space="0"/>
            </w:tcBorders>
            <w:noWrap w:val="0"/>
            <w:vAlign w:val="center"/>
          </w:tcPr>
          <w:p>
            <w:pPr>
              <w:jc w:val="center"/>
            </w:pPr>
            <w:r>
              <w:rPr>
                <w:rFonts w:hint="eastAsia"/>
              </w:rPr>
              <w:t>产品名称</w:t>
            </w:r>
          </w:p>
        </w:tc>
        <w:tc>
          <w:tcPr>
            <w:tcW w:w="1293" w:type="dxa"/>
            <w:tcBorders>
              <w:top w:val="single" w:color="auto" w:sz="8" w:space="0"/>
            </w:tcBorders>
            <w:noWrap w:val="0"/>
            <w:vAlign w:val="center"/>
          </w:tcPr>
          <w:p>
            <w:pPr>
              <w:jc w:val="center"/>
            </w:pPr>
            <w:r>
              <w:rPr>
                <w:rFonts w:hint="eastAsia"/>
              </w:rPr>
              <w:t>招标文件</w:t>
            </w:r>
          </w:p>
          <w:p>
            <w:pPr>
              <w:jc w:val="center"/>
            </w:pPr>
            <w:r>
              <w:rPr>
                <w:rFonts w:hint="eastAsia"/>
              </w:rPr>
              <w:t>条目号</w:t>
            </w:r>
          </w:p>
        </w:tc>
        <w:tc>
          <w:tcPr>
            <w:tcW w:w="1494" w:type="dxa"/>
            <w:tcBorders>
              <w:top w:val="single" w:color="auto" w:sz="8" w:space="0"/>
            </w:tcBorders>
            <w:noWrap w:val="0"/>
            <w:vAlign w:val="center"/>
          </w:tcPr>
          <w:p>
            <w:pPr>
              <w:jc w:val="center"/>
            </w:pPr>
            <w:r>
              <w:rPr>
                <w:rFonts w:hint="eastAsia"/>
              </w:rPr>
              <w:t>招标技术条款</w:t>
            </w:r>
          </w:p>
        </w:tc>
        <w:tc>
          <w:tcPr>
            <w:tcW w:w="1560" w:type="dxa"/>
            <w:tcBorders>
              <w:top w:val="single" w:color="auto" w:sz="8" w:space="0"/>
            </w:tcBorders>
            <w:noWrap w:val="0"/>
            <w:vAlign w:val="center"/>
          </w:tcPr>
          <w:p>
            <w:pPr>
              <w:jc w:val="center"/>
            </w:pPr>
            <w:r>
              <w:rPr>
                <w:rFonts w:hint="eastAsia"/>
              </w:rPr>
              <w:t>投标技术条款</w:t>
            </w:r>
          </w:p>
        </w:tc>
        <w:tc>
          <w:tcPr>
            <w:tcW w:w="1294" w:type="dxa"/>
            <w:tcBorders>
              <w:top w:val="single" w:color="auto" w:sz="8" w:space="0"/>
            </w:tcBorders>
            <w:noWrap w:val="0"/>
            <w:vAlign w:val="center"/>
          </w:tcPr>
          <w:p>
            <w:pPr>
              <w:jc w:val="center"/>
            </w:pPr>
            <w:r>
              <w:rPr>
                <w:rFonts w:hint="eastAsia"/>
              </w:rPr>
              <w:t>响应</w:t>
            </w:r>
            <w:r>
              <w:t>/</w:t>
            </w:r>
            <w:r>
              <w:rPr>
                <w:rFonts w:hint="eastAsia"/>
              </w:rPr>
              <w:t>偏离</w:t>
            </w:r>
          </w:p>
        </w:tc>
        <w:tc>
          <w:tcPr>
            <w:tcW w:w="1294" w:type="dxa"/>
            <w:tcBorders>
              <w:top w:val="single" w:color="auto" w:sz="8" w:space="0"/>
            </w:tcBorders>
            <w:noWrap w:val="0"/>
            <w:vAlign w:val="center"/>
          </w:tcPr>
          <w:p>
            <w:pPr>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noWrap w:val="0"/>
            <w:vAlign w:val="center"/>
          </w:tcPr>
          <w:p>
            <w:pPr>
              <w:jc w:val="center"/>
            </w:pPr>
          </w:p>
        </w:tc>
        <w:tc>
          <w:tcPr>
            <w:tcW w:w="1293" w:type="dxa"/>
            <w:noWrap w:val="0"/>
            <w:vAlign w:val="center"/>
          </w:tcPr>
          <w:p>
            <w:pPr>
              <w:jc w:val="center"/>
            </w:pPr>
          </w:p>
        </w:tc>
        <w:tc>
          <w:tcPr>
            <w:tcW w:w="1293" w:type="dxa"/>
            <w:noWrap w:val="0"/>
            <w:vAlign w:val="center"/>
          </w:tcPr>
          <w:p>
            <w:pPr>
              <w:jc w:val="center"/>
            </w:pPr>
          </w:p>
        </w:tc>
        <w:tc>
          <w:tcPr>
            <w:tcW w:w="1494" w:type="dxa"/>
            <w:noWrap w:val="0"/>
            <w:vAlign w:val="center"/>
          </w:tcPr>
          <w:p>
            <w:pPr>
              <w:jc w:val="center"/>
            </w:pPr>
          </w:p>
        </w:tc>
        <w:tc>
          <w:tcPr>
            <w:tcW w:w="1560" w:type="dxa"/>
            <w:noWrap w:val="0"/>
            <w:vAlign w:val="center"/>
          </w:tcPr>
          <w:p>
            <w:pPr>
              <w:jc w:val="center"/>
            </w:pPr>
          </w:p>
        </w:tc>
        <w:tc>
          <w:tcPr>
            <w:tcW w:w="1294" w:type="dxa"/>
            <w:noWrap w:val="0"/>
            <w:vAlign w:val="center"/>
          </w:tcPr>
          <w:p>
            <w:pPr>
              <w:jc w:val="center"/>
            </w:pPr>
          </w:p>
        </w:tc>
        <w:tc>
          <w:tcPr>
            <w:tcW w:w="1294"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948" w:type="dxa"/>
            <w:tcBorders>
              <w:bottom w:val="single" w:color="auto" w:sz="8" w:space="0"/>
            </w:tcBorders>
            <w:noWrap w:val="0"/>
            <w:vAlign w:val="center"/>
          </w:tcPr>
          <w:p>
            <w:pPr>
              <w:jc w:val="center"/>
            </w:pPr>
          </w:p>
        </w:tc>
        <w:tc>
          <w:tcPr>
            <w:tcW w:w="1293" w:type="dxa"/>
            <w:tcBorders>
              <w:bottom w:val="single" w:color="auto" w:sz="8" w:space="0"/>
            </w:tcBorders>
            <w:noWrap w:val="0"/>
            <w:vAlign w:val="center"/>
          </w:tcPr>
          <w:p>
            <w:pPr>
              <w:jc w:val="center"/>
            </w:pPr>
          </w:p>
        </w:tc>
        <w:tc>
          <w:tcPr>
            <w:tcW w:w="1293" w:type="dxa"/>
            <w:tcBorders>
              <w:bottom w:val="single" w:color="auto" w:sz="8" w:space="0"/>
            </w:tcBorders>
            <w:noWrap w:val="0"/>
            <w:vAlign w:val="center"/>
          </w:tcPr>
          <w:p>
            <w:pPr>
              <w:jc w:val="center"/>
            </w:pPr>
          </w:p>
        </w:tc>
        <w:tc>
          <w:tcPr>
            <w:tcW w:w="1494" w:type="dxa"/>
            <w:tcBorders>
              <w:bottom w:val="single" w:color="auto" w:sz="8" w:space="0"/>
            </w:tcBorders>
            <w:noWrap w:val="0"/>
            <w:vAlign w:val="center"/>
          </w:tcPr>
          <w:p>
            <w:pPr>
              <w:jc w:val="center"/>
            </w:pPr>
          </w:p>
        </w:tc>
        <w:tc>
          <w:tcPr>
            <w:tcW w:w="1560" w:type="dxa"/>
            <w:tcBorders>
              <w:bottom w:val="single" w:color="auto" w:sz="8" w:space="0"/>
            </w:tcBorders>
            <w:noWrap w:val="0"/>
            <w:vAlign w:val="center"/>
          </w:tcPr>
          <w:p>
            <w:pPr>
              <w:jc w:val="center"/>
            </w:pPr>
          </w:p>
        </w:tc>
        <w:tc>
          <w:tcPr>
            <w:tcW w:w="1294" w:type="dxa"/>
            <w:tcBorders>
              <w:bottom w:val="single" w:color="auto" w:sz="8" w:space="0"/>
            </w:tcBorders>
            <w:noWrap w:val="0"/>
            <w:vAlign w:val="center"/>
          </w:tcPr>
          <w:p>
            <w:pPr>
              <w:jc w:val="center"/>
            </w:pPr>
          </w:p>
        </w:tc>
        <w:tc>
          <w:tcPr>
            <w:tcW w:w="1294" w:type="dxa"/>
            <w:tcBorders>
              <w:bottom w:val="single" w:color="auto" w:sz="8" w:space="0"/>
            </w:tcBorders>
            <w:noWrap w:val="0"/>
            <w:vAlign w:val="center"/>
          </w:tcPr>
          <w:p>
            <w:pPr>
              <w:jc w:val="center"/>
            </w:pPr>
          </w:p>
        </w:tc>
      </w:tr>
    </w:tbl>
    <w:p>
      <w:pPr>
        <w:pStyle w:val="61"/>
        <w:rPr>
          <w:rFonts w:hint="eastAsia"/>
          <w:i/>
        </w:rPr>
      </w:pPr>
      <w:r>
        <w:rPr>
          <w:rFonts w:hint="eastAsia"/>
        </w:rPr>
        <w:t>注：如投标文件与招标文件要求存在技术偏离（即使是微小的偏离）请在此表中逐条列出，如无偏离，请在“响应/偏离”列第一单元格内写“全部响应/无偏离</w:t>
      </w:r>
      <w:r>
        <w:rPr>
          <w:rFonts w:hint="eastAsia"/>
          <w:i/>
        </w:rPr>
        <w:t>”</w:t>
      </w:r>
    </w:p>
    <w:p>
      <w:pPr>
        <w:pStyle w:val="61"/>
      </w:pPr>
      <w:r>
        <w:rPr>
          <w:rFonts w:hint="eastAsia"/>
        </w:rPr>
        <w:t>郑重声明</w:t>
      </w:r>
    </w:p>
    <w:p>
      <w:pPr>
        <w:pStyle w:val="61"/>
      </w:pPr>
      <w:r>
        <w:rPr>
          <w:rFonts w:hint="eastAsia"/>
        </w:rPr>
        <w:t>投标人已认真阅读了招标文件，并完全了解买方的各项要求，并将投标产品与招标文件存在的偏离已全部列于表中。我们在此郑重承诺：</w:t>
      </w:r>
    </w:p>
    <w:p>
      <w:pPr>
        <w:pStyle w:val="61"/>
      </w:pPr>
      <w:r>
        <w:rPr>
          <w:rFonts w:hint="eastAsia"/>
        </w:rPr>
        <w:t>如果我们中标，无论何时提供的任何文件，如谈判、澄清、确认和修改等文件，任何偏离或修改均单独列出并予以逐条说明。未在书面文件中单独列出的偏离或修改内容，买方随时有权拒绝接受，我方承担商品的质量、规格与合同不符的责任，并接受按合同索赔。</w:t>
      </w:r>
    </w:p>
    <w:p>
      <w:pPr>
        <w:overflowPunct w:val="0"/>
        <w:topLinePunct/>
        <w:autoSpaceDE/>
        <w:autoSpaceDN/>
        <w:spacing w:before="95" w:beforeLines="30" w:after="95" w:afterLines="30" w:line="560" w:lineRule="exact"/>
        <w:jc w:val="both"/>
        <w:rPr>
          <w:rFonts w:ascii="方正仿宋简体" w:hAnsi="MS Sans Serif" w:eastAsia="方正仿宋简体"/>
          <w:color w:val="FF0000"/>
          <w:kern w:val="2"/>
          <w:sz w:val="32"/>
          <w:szCs w:val="32"/>
        </w:rPr>
      </w:pPr>
      <w:r>
        <w:rPr>
          <w:rFonts w:hint="eastAsia"/>
        </w:rPr>
        <w:t>注：声明内容不能缺少</w:t>
      </w:r>
    </w:p>
    <w:p>
      <w:pPr>
        <w:pStyle w:val="61"/>
      </w:pPr>
      <w:r>
        <w:rPr>
          <w:rFonts w:hint="eastAsia"/>
        </w:rPr>
        <w:t>投标人代表签字：</w:t>
      </w:r>
      <w:r>
        <w:t>______________</w:t>
      </w:r>
    </w:p>
    <w:p>
      <w:pPr>
        <w:overflowPunct w:val="0"/>
        <w:topLinePunct/>
        <w:autoSpaceDE/>
        <w:autoSpaceDN/>
        <w:spacing w:before="95" w:beforeLines="30" w:after="95" w:afterLines="30" w:line="560" w:lineRule="exact"/>
        <w:jc w:val="both"/>
        <w:outlineLvl w:val="1"/>
        <w:rPr>
          <w:rFonts w:ascii="方正仿宋简体" w:hAnsi="MS Sans Serif" w:eastAsia="方正仿宋简体"/>
          <w:kern w:val="2"/>
          <w:sz w:val="32"/>
          <w:szCs w:val="32"/>
        </w:rPr>
      </w:pPr>
    </w:p>
    <w:p>
      <w:pPr>
        <w:pStyle w:val="61"/>
        <w:ind w:firstLine="0" w:firstLineChars="0"/>
        <w:outlineLvl w:val="1"/>
        <w:rPr>
          <w:sz w:val="19"/>
          <w:szCs w:val="19"/>
        </w:rPr>
      </w:pPr>
      <w:r>
        <w:rPr>
          <w:sz w:val="19"/>
          <w:szCs w:val="19"/>
        </w:rPr>
        <w:br w:type="page"/>
      </w:r>
      <w:bookmarkStart w:id="343" w:name="_Toc363127809"/>
      <w:bookmarkStart w:id="344" w:name="_Toc363059659"/>
      <w:bookmarkStart w:id="345" w:name="_Toc204592954"/>
      <w:bookmarkStart w:id="346" w:name="_Toc363454548"/>
      <w:bookmarkStart w:id="347" w:name="_Toc363125355"/>
      <w:bookmarkStart w:id="348" w:name="_Toc6183"/>
      <w:bookmarkStart w:id="349" w:name="_Toc307924176"/>
      <w:bookmarkStart w:id="350" w:name="_Toc363128949"/>
      <w:bookmarkStart w:id="351" w:name="_Toc363134247"/>
      <w:bookmarkStart w:id="352" w:name="_Toc310252871"/>
      <w:bookmarkStart w:id="353" w:name="_Toc244261284"/>
      <w:r>
        <w:rPr>
          <w:rFonts w:hint="eastAsia"/>
        </w:rPr>
        <w:t>格式Ⅳ</w:t>
      </w:r>
      <w:r>
        <w:t>-</w:t>
      </w:r>
      <w:r>
        <w:rPr>
          <w:rFonts w:hint="eastAsia"/>
        </w:rPr>
        <w:t>6．商务条款响应</w:t>
      </w:r>
      <w:r>
        <w:t>/</w:t>
      </w:r>
      <w:r>
        <w:rPr>
          <w:rFonts w:hint="eastAsia"/>
        </w:rPr>
        <w:t>偏离表格式</w:t>
      </w:r>
      <w:bookmarkEnd w:id="343"/>
      <w:bookmarkEnd w:id="344"/>
      <w:bookmarkEnd w:id="345"/>
      <w:bookmarkEnd w:id="346"/>
      <w:bookmarkEnd w:id="347"/>
      <w:bookmarkEnd w:id="348"/>
      <w:bookmarkEnd w:id="349"/>
      <w:bookmarkEnd w:id="350"/>
      <w:bookmarkEnd w:id="351"/>
      <w:bookmarkEnd w:id="352"/>
      <w:bookmarkEnd w:id="353"/>
    </w:p>
    <w:p>
      <w:pPr>
        <w:jc w:val="center"/>
        <w:rPr>
          <w:b/>
          <w:sz w:val="32"/>
          <w:szCs w:val="32"/>
        </w:rPr>
      </w:pPr>
      <w:bookmarkStart w:id="354" w:name="_Toc310252872"/>
      <w:r>
        <w:rPr>
          <w:rFonts w:hint="eastAsia"/>
          <w:b/>
          <w:sz w:val="32"/>
          <w:szCs w:val="32"/>
        </w:rPr>
        <w:t>商务条款响应</w:t>
      </w:r>
      <w:r>
        <w:rPr>
          <w:b/>
          <w:sz w:val="32"/>
          <w:szCs w:val="32"/>
        </w:rPr>
        <w:t>/</w:t>
      </w:r>
      <w:r>
        <w:rPr>
          <w:rFonts w:hint="eastAsia"/>
          <w:b/>
          <w:sz w:val="32"/>
          <w:szCs w:val="32"/>
        </w:rPr>
        <w:t>偏离表</w:t>
      </w:r>
      <w:bookmarkEnd w:id="354"/>
    </w:p>
    <w:p>
      <w:pPr>
        <w:pStyle w:val="61"/>
        <w:ind w:firstLine="0" w:firstLineChars="0"/>
      </w:pPr>
      <w:r>
        <w:rPr>
          <w:rFonts w:hint="eastAsia"/>
        </w:rPr>
        <w:t>投标人名称：</w:t>
      </w:r>
      <w:r>
        <w:rPr>
          <w:rFonts w:hint="eastAsia"/>
          <w:u w:val="single"/>
        </w:rPr>
        <w:t xml:space="preserve">（公章）                    </w:t>
      </w:r>
      <w:r>
        <w:rPr>
          <w:rFonts w:hint="eastAsia"/>
        </w:rPr>
        <w:t>招标编号</w:t>
      </w:r>
      <w:r>
        <w:t>.</w:t>
      </w:r>
      <w:r>
        <w:rPr>
          <w:rFonts w:hint="eastAsia"/>
        </w:rPr>
        <w:t>：</w:t>
      </w:r>
      <w:r>
        <w:t>______________</w:t>
      </w:r>
      <w:r>
        <w:rPr>
          <w:rFonts w:hint="eastAsia"/>
        </w:rPr>
        <w:t>包号：</w:t>
      </w:r>
      <w:r>
        <w:t>______________</w:t>
      </w:r>
    </w:p>
    <w:tbl>
      <w:tblPr>
        <w:tblStyle w:val="4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012"/>
        <w:gridCol w:w="2500"/>
        <w:gridCol w:w="2615"/>
        <w:gridCol w:w="12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tcBorders>
              <w:top w:val="single" w:color="auto" w:sz="8" w:space="0"/>
            </w:tcBorders>
            <w:noWrap w:val="0"/>
            <w:vAlign w:val="center"/>
          </w:tcPr>
          <w:p>
            <w:pPr>
              <w:jc w:val="center"/>
            </w:pPr>
            <w:r>
              <w:rPr>
                <w:rFonts w:hint="eastAsia"/>
              </w:rPr>
              <w:t>序号</w:t>
            </w:r>
          </w:p>
        </w:tc>
        <w:tc>
          <w:tcPr>
            <w:tcW w:w="2012" w:type="dxa"/>
            <w:tcBorders>
              <w:top w:val="single" w:color="auto" w:sz="8" w:space="0"/>
            </w:tcBorders>
            <w:noWrap w:val="0"/>
            <w:vAlign w:val="center"/>
          </w:tcPr>
          <w:p>
            <w:pPr>
              <w:jc w:val="center"/>
            </w:pPr>
            <w:r>
              <w:rPr>
                <w:rFonts w:hint="eastAsia"/>
              </w:rPr>
              <w:t>招标文件条目号</w:t>
            </w:r>
          </w:p>
        </w:tc>
        <w:tc>
          <w:tcPr>
            <w:tcW w:w="2500" w:type="dxa"/>
            <w:tcBorders>
              <w:top w:val="single" w:color="auto" w:sz="8" w:space="0"/>
            </w:tcBorders>
            <w:noWrap w:val="0"/>
            <w:vAlign w:val="center"/>
          </w:tcPr>
          <w:p>
            <w:pPr>
              <w:jc w:val="center"/>
            </w:pPr>
            <w:r>
              <w:rPr>
                <w:rFonts w:hint="eastAsia"/>
              </w:rPr>
              <w:t>招标文件的商务条款</w:t>
            </w:r>
          </w:p>
        </w:tc>
        <w:tc>
          <w:tcPr>
            <w:tcW w:w="2615" w:type="dxa"/>
            <w:tcBorders>
              <w:top w:val="single" w:color="auto" w:sz="8" w:space="0"/>
            </w:tcBorders>
            <w:noWrap w:val="0"/>
            <w:vAlign w:val="center"/>
          </w:tcPr>
          <w:p>
            <w:pPr>
              <w:jc w:val="center"/>
            </w:pPr>
            <w:r>
              <w:rPr>
                <w:rFonts w:hint="eastAsia"/>
              </w:rPr>
              <w:t>投标文件的商务条款</w:t>
            </w:r>
          </w:p>
        </w:tc>
        <w:tc>
          <w:tcPr>
            <w:tcW w:w="1207" w:type="dxa"/>
            <w:tcBorders>
              <w:top w:val="single" w:color="auto" w:sz="8" w:space="0"/>
            </w:tcBorders>
            <w:noWrap w:val="0"/>
            <w:vAlign w:val="center"/>
          </w:tcPr>
          <w:p>
            <w:pPr>
              <w:jc w:val="center"/>
            </w:pPr>
            <w:r>
              <w:rPr>
                <w:rFonts w:hint="eastAsia"/>
              </w:rPr>
              <w:t>说明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noWrap w:val="0"/>
            <w:vAlign w:val="center"/>
          </w:tcPr>
          <w:p>
            <w:pPr>
              <w:jc w:val="center"/>
            </w:pPr>
          </w:p>
        </w:tc>
        <w:tc>
          <w:tcPr>
            <w:tcW w:w="2012" w:type="dxa"/>
            <w:noWrap w:val="0"/>
            <w:vAlign w:val="center"/>
          </w:tcPr>
          <w:p>
            <w:pPr>
              <w:jc w:val="center"/>
            </w:pPr>
          </w:p>
        </w:tc>
        <w:tc>
          <w:tcPr>
            <w:tcW w:w="2500" w:type="dxa"/>
            <w:noWrap w:val="0"/>
            <w:vAlign w:val="center"/>
          </w:tcPr>
          <w:p>
            <w:pPr>
              <w:jc w:val="center"/>
            </w:pPr>
          </w:p>
        </w:tc>
        <w:tc>
          <w:tcPr>
            <w:tcW w:w="2615" w:type="dxa"/>
            <w:noWrap w:val="0"/>
            <w:vAlign w:val="center"/>
          </w:tcPr>
          <w:p>
            <w:pPr>
              <w:jc w:val="center"/>
            </w:pPr>
          </w:p>
        </w:tc>
        <w:tc>
          <w:tcPr>
            <w:tcW w:w="1207" w:type="dxa"/>
            <w:noWrap w:val="0"/>
            <w:vAlign w:val="center"/>
          </w:tcPr>
          <w:p>
            <w:pPr>
              <w:jc w:val="cente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wBefore w:w="0" w:type="dxa"/>
          <w:trHeight w:val="567" w:hRule="atLeast"/>
          <w:jc w:val="center"/>
        </w:trPr>
        <w:tc>
          <w:tcPr>
            <w:tcW w:w="841" w:type="dxa"/>
            <w:tcBorders>
              <w:bottom w:val="single" w:color="auto" w:sz="8" w:space="0"/>
            </w:tcBorders>
            <w:noWrap w:val="0"/>
            <w:vAlign w:val="center"/>
          </w:tcPr>
          <w:p>
            <w:pPr>
              <w:jc w:val="center"/>
            </w:pPr>
          </w:p>
        </w:tc>
        <w:tc>
          <w:tcPr>
            <w:tcW w:w="2012" w:type="dxa"/>
            <w:tcBorders>
              <w:bottom w:val="single" w:color="auto" w:sz="8" w:space="0"/>
            </w:tcBorders>
            <w:noWrap w:val="0"/>
            <w:vAlign w:val="center"/>
          </w:tcPr>
          <w:p>
            <w:pPr>
              <w:jc w:val="center"/>
            </w:pPr>
          </w:p>
        </w:tc>
        <w:tc>
          <w:tcPr>
            <w:tcW w:w="2500" w:type="dxa"/>
            <w:tcBorders>
              <w:bottom w:val="single" w:color="auto" w:sz="8" w:space="0"/>
            </w:tcBorders>
            <w:noWrap w:val="0"/>
            <w:vAlign w:val="center"/>
          </w:tcPr>
          <w:p>
            <w:pPr>
              <w:jc w:val="center"/>
            </w:pPr>
          </w:p>
        </w:tc>
        <w:tc>
          <w:tcPr>
            <w:tcW w:w="2615" w:type="dxa"/>
            <w:tcBorders>
              <w:bottom w:val="single" w:color="auto" w:sz="8" w:space="0"/>
            </w:tcBorders>
            <w:noWrap w:val="0"/>
            <w:vAlign w:val="center"/>
          </w:tcPr>
          <w:p>
            <w:pPr>
              <w:jc w:val="center"/>
            </w:pPr>
          </w:p>
        </w:tc>
        <w:tc>
          <w:tcPr>
            <w:tcW w:w="1207" w:type="dxa"/>
            <w:tcBorders>
              <w:bottom w:val="single" w:color="auto" w:sz="8" w:space="0"/>
            </w:tcBorders>
            <w:noWrap w:val="0"/>
            <w:vAlign w:val="center"/>
          </w:tcPr>
          <w:p>
            <w:pPr>
              <w:jc w:val="center"/>
            </w:pPr>
          </w:p>
        </w:tc>
      </w:tr>
    </w:tbl>
    <w:p>
      <w:pPr>
        <w:rPr>
          <w:rFonts w:hint="eastAsia" w:hAnsi="宋体"/>
          <w:kern w:val="2"/>
          <w:szCs w:val="21"/>
        </w:rPr>
      </w:pPr>
      <w:r>
        <w:rPr>
          <w:rFonts w:hint="eastAsia" w:hAnsi="宋体"/>
          <w:kern w:val="2"/>
          <w:szCs w:val="21"/>
        </w:rPr>
        <w:t>注：投标文件与招标文件要求存在商务偏离，请在此表中逐条列出，如无偏离，请在“说明”列第一单元格写“全部响应/无偏离”</w:t>
      </w:r>
    </w:p>
    <w:p>
      <w:pPr>
        <w:pStyle w:val="61"/>
        <w:rPr>
          <w:rFonts w:hint="eastAsia"/>
        </w:rPr>
      </w:pPr>
    </w:p>
    <w:p>
      <w:pPr>
        <w:pStyle w:val="61"/>
      </w:pPr>
      <w:r>
        <w:rPr>
          <w:rFonts w:hint="eastAsia"/>
        </w:rPr>
        <w:t>投标人代表签字：</w:t>
      </w:r>
      <w:r>
        <w:t xml:space="preserve"> ______________</w:t>
      </w:r>
    </w:p>
    <w:p>
      <w:pPr>
        <w:overflowPunct w:val="0"/>
        <w:topLinePunct/>
        <w:autoSpaceDE/>
        <w:autoSpaceDN/>
        <w:spacing w:before="95" w:beforeLines="30" w:after="95" w:afterLines="30" w:line="560" w:lineRule="exact"/>
        <w:jc w:val="both"/>
        <w:rPr>
          <w:rFonts w:ascii="Times New Roman"/>
          <w:kern w:val="2"/>
          <w:sz w:val="20"/>
        </w:rPr>
      </w:pPr>
    </w:p>
    <w:p>
      <w:pPr>
        <w:pStyle w:val="61"/>
      </w:pPr>
    </w:p>
    <w:p>
      <w:pPr>
        <w:pStyle w:val="61"/>
        <w:ind w:firstLine="0" w:firstLineChars="0"/>
        <w:outlineLvl w:val="1"/>
      </w:pPr>
      <w:r>
        <w:br w:type="page"/>
      </w:r>
      <w:bookmarkStart w:id="355" w:name="_Toc244261286"/>
      <w:bookmarkStart w:id="356" w:name="_Toc343339113"/>
      <w:bookmarkStart w:id="357" w:name="_Toc27149"/>
      <w:bookmarkStart w:id="358" w:name="_Toc307924179"/>
      <w:bookmarkStart w:id="359" w:name="_Toc363128950"/>
      <w:bookmarkStart w:id="360" w:name="_Toc307475729"/>
      <w:bookmarkStart w:id="361" w:name="_Toc310252875"/>
      <w:bookmarkStart w:id="362" w:name="_Toc363125356"/>
      <w:bookmarkStart w:id="363" w:name="_Toc307839731"/>
      <w:bookmarkStart w:id="364" w:name="_Toc307924178"/>
      <w:bookmarkStart w:id="365" w:name="_Toc204592958"/>
      <w:bookmarkStart w:id="366" w:name="_Toc363454549"/>
      <w:bookmarkStart w:id="367" w:name="_Toc244261287"/>
      <w:bookmarkStart w:id="368" w:name="_Toc363134248"/>
      <w:bookmarkStart w:id="369" w:name="_Toc279651675"/>
      <w:bookmarkStart w:id="370" w:name="_Toc363059660"/>
      <w:bookmarkStart w:id="371" w:name="_Toc363127810"/>
      <w:bookmarkStart w:id="372" w:name="_Toc343339112"/>
      <w:r>
        <w:rPr>
          <w:rFonts w:hint="eastAsia"/>
        </w:rPr>
        <w:t>格式Ⅳ</w:t>
      </w:r>
      <w:r>
        <w:t>-</w:t>
      </w:r>
      <w:r>
        <w:rPr>
          <w:rFonts w:hint="eastAsia"/>
        </w:rPr>
        <w:t>7．法定代表人授权委托书格式</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Start w:id="373" w:name="_Toc159056688"/>
    </w:p>
    <w:p>
      <w:pPr>
        <w:jc w:val="center"/>
        <w:rPr>
          <w:b/>
          <w:sz w:val="32"/>
          <w:szCs w:val="32"/>
        </w:rPr>
      </w:pPr>
      <w:bookmarkStart w:id="374" w:name="_Toc310252877"/>
      <w:r>
        <w:rPr>
          <w:rFonts w:hint="eastAsia"/>
          <w:b/>
          <w:sz w:val="32"/>
          <w:szCs w:val="32"/>
        </w:rPr>
        <w:t>法定代表人授权委托书</w:t>
      </w:r>
      <w:bookmarkEnd w:id="373"/>
      <w:bookmarkEnd w:id="374"/>
    </w:p>
    <w:p>
      <w:pPr>
        <w:ind w:firstLine="700" w:firstLineChars="250"/>
        <w:rPr>
          <w:rFonts w:hint="eastAsia" w:hAnsi="宋体"/>
          <w:sz w:val="28"/>
          <w:szCs w:val="28"/>
        </w:rPr>
      </w:pPr>
      <w:r>
        <w:rPr>
          <w:rFonts w:hint="eastAsia" w:hAnsi="宋体"/>
          <w:sz w:val="28"/>
          <w:szCs w:val="28"/>
        </w:rPr>
        <w:t>授权委托书声明：我</w:t>
      </w:r>
      <w:r>
        <w:rPr>
          <w:rFonts w:hint="eastAsia" w:hAnsi="宋体"/>
          <w:sz w:val="28"/>
          <w:szCs w:val="28"/>
          <w:u w:val="single"/>
        </w:rPr>
        <w:t xml:space="preserve">            </w:t>
      </w:r>
      <w:r>
        <w:rPr>
          <w:rFonts w:hint="eastAsia" w:hAnsi="宋体"/>
          <w:sz w:val="28"/>
          <w:szCs w:val="28"/>
        </w:rPr>
        <w:t>(投标代表姓名)系</w:t>
      </w:r>
      <w:r>
        <w:rPr>
          <w:rFonts w:hint="eastAsia" w:hAnsi="宋体"/>
          <w:sz w:val="28"/>
          <w:szCs w:val="28"/>
          <w:u w:val="single"/>
        </w:rPr>
        <w:t xml:space="preserve">          </w:t>
      </w:r>
      <w:r>
        <w:rPr>
          <w:rFonts w:hint="eastAsia" w:hAnsi="宋体"/>
          <w:sz w:val="28"/>
          <w:szCs w:val="28"/>
        </w:rPr>
        <w:t xml:space="preserve">  </w:t>
      </w:r>
    </w:p>
    <w:p>
      <w:pPr>
        <w:rPr>
          <w:rFonts w:hint="eastAsia" w:hAnsi="宋体"/>
          <w:sz w:val="28"/>
          <w:szCs w:val="28"/>
        </w:rPr>
      </w:pPr>
      <w:r>
        <w:rPr>
          <w:rFonts w:hint="eastAsia" w:hAnsi="宋体"/>
          <w:sz w:val="28"/>
          <w:szCs w:val="28"/>
          <w:u w:val="single"/>
        </w:rPr>
        <w:t xml:space="preserve">                                       </w:t>
      </w:r>
      <w:r>
        <w:rPr>
          <w:rFonts w:hint="eastAsia" w:hAnsi="宋体"/>
          <w:sz w:val="28"/>
          <w:szCs w:val="28"/>
        </w:rPr>
        <w:t>(投标单位)的法定代表人，现授权委托</w:t>
      </w:r>
      <w:r>
        <w:rPr>
          <w:rFonts w:hint="eastAsia" w:hAnsi="宋体"/>
          <w:sz w:val="28"/>
          <w:szCs w:val="28"/>
          <w:u w:val="single"/>
        </w:rPr>
        <w:t xml:space="preserve">           </w:t>
      </w:r>
      <w:r>
        <w:rPr>
          <w:rFonts w:hint="eastAsia" w:hAnsi="宋体"/>
          <w:sz w:val="28"/>
          <w:szCs w:val="28"/>
        </w:rPr>
        <w:t>(姓名)为我公司代理人，以本公司的名义参加中国石油辽河油田招标中心组织的</w:t>
      </w:r>
      <w:r>
        <w:rPr>
          <w:rFonts w:hint="eastAsia" w:hAnsi="宋体"/>
          <w:sz w:val="28"/>
          <w:szCs w:val="28"/>
          <w:u w:val="single"/>
        </w:rPr>
        <w:t xml:space="preserve">                             </w:t>
      </w:r>
      <w:r>
        <w:rPr>
          <w:rFonts w:hint="eastAsia" w:hAnsi="宋体"/>
          <w:sz w:val="28"/>
          <w:szCs w:val="28"/>
        </w:rPr>
        <w:t>项目的投标活动。代理人在开标、评标、合同谈判过程中所签署的一切文件和处理与之有关的一切事务，我均予以承认。</w:t>
      </w:r>
    </w:p>
    <w:p>
      <w:pPr>
        <w:ind w:firstLine="560" w:firstLineChars="200"/>
        <w:rPr>
          <w:rFonts w:hint="eastAsia" w:hAnsi="宋体"/>
          <w:sz w:val="28"/>
          <w:szCs w:val="28"/>
        </w:rPr>
      </w:pPr>
      <w:r>
        <w:rPr>
          <w:rFonts w:hint="eastAsia" w:hAnsi="宋体"/>
          <w:sz w:val="28"/>
          <w:szCs w:val="28"/>
        </w:rPr>
        <w:t>代理人无权转让委托权，特此委托！</w:t>
      </w:r>
    </w:p>
    <w:p>
      <w:pPr>
        <w:rPr>
          <w:rFonts w:hint="eastAsia" w:hAnsi="宋体"/>
          <w:sz w:val="28"/>
          <w:szCs w:val="28"/>
        </w:rPr>
      </w:pPr>
      <w:r>
        <w:rPr>
          <w:rFonts w:hint="eastAsia" w:hAnsi="宋体"/>
          <w:sz w:val="28"/>
          <w:szCs w:val="28"/>
        </w:rPr>
        <w:t>授权有效期：         年    月    日 至        年    月    日</w:t>
      </w:r>
    </w:p>
    <w:p>
      <w:pPr>
        <w:ind w:firstLine="5880" w:firstLineChars="2100"/>
        <w:rPr>
          <w:rFonts w:hint="eastAsia" w:hAnsi="宋体"/>
          <w:sz w:val="28"/>
          <w:szCs w:val="28"/>
        </w:rPr>
      </w:pPr>
    </w:p>
    <w:p>
      <w:pPr>
        <w:ind w:firstLine="5740" w:firstLineChars="2050"/>
        <w:rPr>
          <w:rFonts w:hint="eastAsia" w:hAnsi="宋体"/>
          <w:sz w:val="28"/>
          <w:szCs w:val="28"/>
        </w:rPr>
      </w:pPr>
      <w:r>
        <w:rPr>
          <w:rFonts w:hint="eastAsia" w:hAnsi="宋体"/>
          <w:sz w:val="28"/>
          <w:szCs w:val="28"/>
        </w:rPr>
        <w:t>投标单位(公章)：</w:t>
      </w:r>
    </w:p>
    <w:p>
      <w:pPr>
        <w:ind w:firstLine="5040" w:firstLineChars="1800"/>
        <w:rPr>
          <w:rFonts w:hint="eastAsia" w:hAnsi="宋体"/>
          <w:sz w:val="28"/>
          <w:szCs w:val="28"/>
        </w:rPr>
      </w:pPr>
    </w:p>
    <w:p>
      <w:pPr>
        <w:rPr>
          <w:rFonts w:hint="eastAsia" w:hAnsi="宋体"/>
          <w:sz w:val="28"/>
          <w:szCs w:val="28"/>
        </w:rPr>
      </w:pPr>
      <w:r>
        <w:rPr>
          <w:rFonts w:hint="eastAsia" w:hAnsi="宋体"/>
          <w:sz w:val="28"/>
          <w:szCs w:val="28"/>
        </w:rPr>
        <w:t>法定代表人身份证号：                   法定代表人(签章)：</w:t>
      </w:r>
    </w:p>
    <w:p>
      <w:pPr>
        <w:ind w:firstLine="5880" w:firstLineChars="2100"/>
        <w:rPr>
          <w:rFonts w:hint="eastAsia" w:hAnsi="宋体"/>
          <w:sz w:val="28"/>
          <w:szCs w:val="28"/>
        </w:rPr>
      </w:pPr>
    </w:p>
    <w:p>
      <w:pPr>
        <w:rPr>
          <w:rFonts w:hint="eastAsia" w:hAnsi="宋体"/>
          <w:sz w:val="28"/>
          <w:szCs w:val="28"/>
        </w:rPr>
      </w:pPr>
      <w:r>
        <w:rPr>
          <w:rFonts w:hint="eastAsia" w:hAnsi="宋体"/>
          <w:sz w:val="28"/>
          <w:szCs w:val="28"/>
        </w:rPr>
        <w:t>被授权人身份证号：                     被授权人（签字）：</w:t>
      </w:r>
    </w:p>
    <w:p>
      <w:pPr>
        <w:ind w:firstLine="5040" w:firstLineChars="1800"/>
        <w:rPr>
          <w:rFonts w:hint="eastAsia" w:hAnsi="宋体"/>
          <w:sz w:val="28"/>
          <w:szCs w:val="28"/>
        </w:rPr>
      </w:pPr>
    </w:p>
    <w:p>
      <w:pPr>
        <w:rPr>
          <w:rFonts w:hint="eastAsia" w:hAnsi="宋体"/>
          <w:sz w:val="28"/>
          <w:szCs w:val="28"/>
        </w:rPr>
      </w:pPr>
      <w:r>
        <w:rPr>
          <w:rFonts w:hint="eastAsia" w:hAnsi="宋体"/>
          <w:sz w:val="28"/>
          <w:szCs w:val="28"/>
        </w:rPr>
        <w:t>附：法定代表人身份证复印件             被授权人身份证复印件</w:t>
      </w:r>
    </w:p>
    <w:p>
      <w:pPr>
        <w:pStyle w:val="61"/>
        <w:ind w:firstLine="0" w:firstLineChars="0"/>
        <w:outlineLvl w:val="1"/>
        <w:rPr>
          <w:rStyle w:val="82"/>
          <w:rFonts w:ascii="Times New Roman"/>
          <w:sz w:val="23"/>
          <w:szCs w:val="23"/>
        </w:rPr>
      </w:pPr>
      <w:r>
        <w:rPr>
          <w:rFonts w:ascii="宋体" w:hAnsi="宋体"/>
          <w:sz w:val="19"/>
          <w:szCs w:val="19"/>
          <w:u w:val="none" w:color="000000"/>
        </w:rPr>
        <w:br w:type="page"/>
      </w:r>
      <w:bookmarkStart w:id="375" w:name="_Toc363128951"/>
      <w:bookmarkStart w:id="376" w:name="_Toc343339114"/>
      <w:bookmarkStart w:id="377" w:name="_Toc307924180"/>
      <w:bookmarkStart w:id="378" w:name="_Toc244261288"/>
      <w:bookmarkStart w:id="379" w:name="_Toc363059661"/>
      <w:bookmarkStart w:id="380" w:name="_Toc363127811"/>
      <w:bookmarkStart w:id="381" w:name="_Toc363134249"/>
      <w:bookmarkStart w:id="382" w:name="_Toc9341"/>
      <w:bookmarkStart w:id="383" w:name="_Toc204592960"/>
      <w:bookmarkStart w:id="384" w:name="_Toc363125357"/>
      <w:bookmarkStart w:id="385" w:name="_Toc363454550"/>
      <w:r>
        <w:rPr>
          <w:rFonts w:hint="eastAsia"/>
        </w:rPr>
        <w:t>格式Ⅳ</w:t>
      </w:r>
      <w:r>
        <w:t>-</w:t>
      </w:r>
      <w:r>
        <w:rPr>
          <w:rFonts w:hint="eastAsia"/>
        </w:rPr>
        <w:t>8．资格证明文件格式</w:t>
      </w:r>
      <w:bookmarkEnd w:id="375"/>
      <w:bookmarkEnd w:id="376"/>
      <w:bookmarkEnd w:id="377"/>
      <w:bookmarkEnd w:id="378"/>
      <w:bookmarkEnd w:id="379"/>
      <w:bookmarkEnd w:id="380"/>
      <w:bookmarkEnd w:id="381"/>
      <w:bookmarkEnd w:id="382"/>
      <w:bookmarkEnd w:id="383"/>
      <w:bookmarkEnd w:id="384"/>
      <w:bookmarkEnd w:id="385"/>
    </w:p>
    <w:p>
      <w:pPr>
        <w:jc w:val="center"/>
      </w:pPr>
      <w:bookmarkStart w:id="386" w:name="_Toc310252879"/>
      <w:r>
        <w:rPr>
          <w:rFonts w:hint="eastAsia"/>
        </w:rPr>
        <w:t>填</w:t>
      </w:r>
      <w:r>
        <w:t xml:space="preserve"> </w:t>
      </w:r>
      <w:r>
        <w:rPr>
          <w:rFonts w:hint="eastAsia"/>
        </w:rPr>
        <w:t>写</w:t>
      </w:r>
      <w:r>
        <w:t xml:space="preserve"> </w:t>
      </w:r>
      <w:r>
        <w:rPr>
          <w:rFonts w:hint="eastAsia"/>
        </w:rPr>
        <w:t>须</w:t>
      </w:r>
      <w:r>
        <w:t xml:space="preserve"> </w:t>
      </w:r>
      <w:r>
        <w:rPr>
          <w:rFonts w:hint="eastAsia"/>
        </w:rPr>
        <w:t>知</w:t>
      </w:r>
      <w:bookmarkEnd w:id="386"/>
    </w:p>
    <w:p>
      <w:pPr>
        <w:pStyle w:val="61"/>
        <w:rPr>
          <w:rFonts w:hint="eastAsia"/>
        </w:rPr>
      </w:pPr>
      <w:r>
        <w:t>1</w:t>
      </w:r>
      <w:r>
        <w:rPr>
          <w:rFonts w:hint="eastAsia"/>
        </w:rPr>
        <w:t>．制造商作为投标人应填写和提交下述规定的格式的文件以及其他有关资料。</w:t>
      </w:r>
    </w:p>
    <w:p>
      <w:pPr>
        <w:pStyle w:val="61"/>
      </w:pPr>
      <w:r>
        <w:t>2</w:t>
      </w:r>
      <w:r>
        <w:rPr>
          <w:rFonts w:hint="eastAsia"/>
        </w:rPr>
        <w:t>．所附附件格式中要求填写的全部问题和／或信息都必须填写。</w:t>
      </w:r>
    </w:p>
    <w:p>
      <w:pPr>
        <w:pStyle w:val="61"/>
      </w:pPr>
      <w:r>
        <w:t>3</w:t>
      </w:r>
      <w:r>
        <w:rPr>
          <w:rFonts w:hint="eastAsia"/>
        </w:rPr>
        <w:t>．本资格声明的签字人应保证全部声明和填写的内容是真实的和正确的。</w:t>
      </w:r>
    </w:p>
    <w:p>
      <w:pPr>
        <w:pStyle w:val="61"/>
      </w:pPr>
      <w:r>
        <w:t>4</w:t>
      </w:r>
      <w:r>
        <w:rPr>
          <w:rFonts w:hint="eastAsia"/>
        </w:rPr>
        <w:t>．评标委员会将应用投标人提交的资料根据自己的判断和考虑决定投标人履行合同的合格性及能力。</w:t>
      </w:r>
    </w:p>
    <w:p>
      <w:pPr>
        <w:pStyle w:val="61"/>
      </w:pPr>
      <w:r>
        <w:t>5</w:t>
      </w:r>
      <w:r>
        <w:rPr>
          <w:rFonts w:hint="eastAsia"/>
        </w:rPr>
        <w:t>．投标人提交的资料将被保密，但不退还。</w:t>
      </w:r>
    </w:p>
    <w:p>
      <w:pPr>
        <w:pStyle w:val="61"/>
      </w:pPr>
      <w:r>
        <w:t>6</w:t>
      </w:r>
      <w:r>
        <w:rPr>
          <w:rFonts w:hint="eastAsia"/>
        </w:rPr>
        <w:t>．全部资格证明文件应按投标人须知规定的语言和份数提交。</w:t>
      </w:r>
    </w:p>
    <w:p>
      <w:pPr>
        <w:snapToGrid w:val="0"/>
        <w:spacing w:line="560" w:lineRule="exact"/>
        <w:rPr>
          <w:rFonts w:ascii="方正仿宋简体" w:hAnsi="MS Sans Serif" w:eastAsia="方正仿宋简体"/>
          <w:kern w:val="2"/>
          <w:sz w:val="32"/>
          <w:szCs w:val="32"/>
        </w:rPr>
      </w:pPr>
    </w:p>
    <w:p>
      <w:pPr>
        <w:snapToGrid w:val="0"/>
        <w:spacing w:line="560" w:lineRule="exact"/>
        <w:rPr>
          <w:rStyle w:val="82"/>
          <w:rFonts w:ascii="Times New Roman"/>
          <w:b/>
          <w:sz w:val="23"/>
          <w:szCs w:val="23"/>
        </w:rPr>
      </w:pPr>
    </w:p>
    <w:p>
      <w:pPr>
        <w:pStyle w:val="61"/>
        <w:ind w:firstLine="0" w:firstLineChars="0"/>
        <w:outlineLvl w:val="1"/>
        <w:rPr>
          <w:rFonts w:hAnsi="方正仿宋简体"/>
          <w:spacing w:val="-2"/>
        </w:rPr>
      </w:pPr>
      <w:r>
        <w:rPr>
          <w:spacing w:val="-2"/>
        </w:rPr>
        <w:br w:type="page"/>
      </w:r>
      <w:bookmarkStart w:id="387" w:name="_Toc25202"/>
      <w:bookmarkStart w:id="388" w:name="_Toc343339115"/>
      <w:bookmarkStart w:id="389" w:name="_Toc244261289"/>
      <w:bookmarkStart w:id="390" w:name="_Toc363127812"/>
      <w:bookmarkStart w:id="391" w:name="_Toc363125358"/>
      <w:bookmarkStart w:id="392" w:name="_Toc363454551"/>
      <w:bookmarkStart w:id="393" w:name="_Toc204592962"/>
      <w:bookmarkStart w:id="394" w:name="_Toc307924181"/>
      <w:bookmarkStart w:id="395" w:name="_Toc363128952"/>
      <w:bookmarkStart w:id="396" w:name="_Toc363134250"/>
      <w:bookmarkStart w:id="397" w:name="_Toc363059662"/>
      <w:r>
        <w:rPr>
          <w:rFonts w:hint="eastAsia"/>
        </w:rPr>
        <w:t>格式Ⅳ</w:t>
      </w:r>
      <w:r>
        <w:t>-</w:t>
      </w:r>
      <w:r>
        <w:rPr>
          <w:rFonts w:hint="eastAsia"/>
        </w:rPr>
        <w:t>8</w:t>
      </w:r>
      <w:r>
        <w:t>-1</w:t>
      </w:r>
      <w:r>
        <w:rPr>
          <w:rFonts w:hint="eastAsia"/>
        </w:rPr>
        <w:t>．资格声明格式</w:t>
      </w:r>
      <w:bookmarkEnd w:id="387"/>
      <w:bookmarkEnd w:id="388"/>
      <w:bookmarkEnd w:id="389"/>
      <w:bookmarkEnd w:id="390"/>
      <w:bookmarkEnd w:id="391"/>
      <w:bookmarkEnd w:id="392"/>
      <w:bookmarkEnd w:id="393"/>
      <w:bookmarkEnd w:id="394"/>
      <w:bookmarkEnd w:id="395"/>
      <w:bookmarkEnd w:id="396"/>
      <w:bookmarkEnd w:id="397"/>
    </w:p>
    <w:p>
      <w:pPr>
        <w:jc w:val="center"/>
        <w:rPr>
          <w:b/>
          <w:sz w:val="24"/>
          <w:szCs w:val="24"/>
        </w:rPr>
      </w:pPr>
      <w:bookmarkStart w:id="398" w:name="_Toc310252881"/>
      <w:r>
        <w:rPr>
          <w:rFonts w:hint="eastAsia"/>
          <w:b/>
          <w:sz w:val="32"/>
          <w:szCs w:val="32"/>
        </w:rPr>
        <w:t>资格声明</w:t>
      </w:r>
      <w:bookmarkEnd w:id="398"/>
    </w:p>
    <w:p>
      <w:pPr>
        <w:pStyle w:val="61"/>
        <w:ind w:firstLine="0" w:firstLineChars="0"/>
      </w:pPr>
      <w:r>
        <w:rPr>
          <w:rFonts w:hint="eastAsia"/>
        </w:rPr>
        <w:t>致：（招标机构或招标人）</w:t>
      </w:r>
    </w:p>
    <w:p>
      <w:pPr>
        <w:pStyle w:val="61"/>
      </w:pPr>
      <w:r>
        <w:rPr>
          <w:rFonts w:hint="eastAsia"/>
        </w:rPr>
        <w:t>为响应你方</w:t>
      </w:r>
      <w:r>
        <w:t>_____</w:t>
      </w:r>
      <w:r>
        <w:rPr>
          <w:rFonts w:hint="eastAsia"/>
        </w:rPr>
        <w:t>年</w:t>
      </w:r>
      <w:r>
        <w:t>_</w:t>
      </w:r>
      <w:r>
        <w:rPr>
          <w:rFonts w:hint="eastAsia"/>
          <w:u w:val="single"/>
        </w:rPr>
        <w:t xml:space="preserve"> </w:t>
      </w:r>
      <w:r>
        <w:rPr>
          <w:u w:val="single"/>
        </w:rPr>
        <w:t>_</w:t>
      </w:r>
      <w:r>
        <w:rPr>
          <w:rFonts w:hint="eastAsia"/>
        </w:rPr>
        <w:t>月</w:t>
      </w:r>
      <w:r>
        <w:t>_</w:t>
      </w:r>
      <w:r>
        <w:rPr>
          <w:rFonts w:hint="eastAsia"/>
          <w:u w:val="single"/>
        </w:rPr>
        <w:t xml:space="preserve"> </w:t>
      </w:r>
      <w:r>
        <w:t>_</w:t>
      </w:r>
      <w:r>
        <w:rPr>
          <w:rFonts w:hint="eastAsia"/>
        </w:rPr>
        <w:t>日的（招标公告编号：</w:t>
      </w:r>
      <w:r>
        <w:rPr>
          <w:rFonts w:hint="eastAsia"/>
          <w:u w:val="single"/>
        </w:rPr>
        <w:t xml:space="preserve">         </w:t>
      </w:r>
      <w:r>
        <w:rPr>
          <w:rFonts w:hint="eastAsia"/>
        </w:rPr>
        <w:t>）招标公告，下述签字人愿参与投标，提供产品报价表中规定的</w:t>
      </w:r>
      <w:r>
        <w:rPr>
          <w:rFonts w:hint="eastAsia"/>
          <w:u w:val="single"/>
        </w:rPr>
        <w:t xml:space="preserve">               （报价表第一项产品名称）等               项产品</w:t>
      </w:r>
      <w:r>
        <w:rPr>
          <w:rFonts w:hint="eastAsia"/>
        </w:rPr>
        <w:t>，提交下述文件并声明全部说明是真实的和正确的。</w:t>
      </w:r>
    </w:p>
    <w:p>
      <w:pPr>
        <w:pStyle w:val="61"/>
        <w:rPr>
          <w:rFonts w:hint="eastAsia"/>
        </w:rPr>
      </w:pPr>
      <w:r>
        <w:rPr>
          <w:rFonts w:hint="eastAsia" w:hAnsi="宋体" w:cs="宋体"/>
        </w:rPr>
        <w:t>是否处于被责令停业、财产被接管、冻结、破产状态？</w:t>
      </w:r>
    </w:p>
    <w:p>
      <w:pPr>
        <w:pStyle w:val="61"/>
        <w:ind w:firstLine="840" w:firstLineChars="400"/>
        <w:rPr>
          <w:rFonts w:hint="eastAsia"/>
        </w:rPr>
      </w:pPr>
      <w:r>
        <w:rPr>
          <w:rFonts w:hint="eastAsia"/>
        </w:rPr>
        <w:t>选择:  1、是         2、否</w:t>
      </w:r>
    </w:p>
    <w:p>
      <w:pPr>
        <w:pStyle w:val="61"/>
        <w:rPr>
          <w:rFonts w:hint="eastAsia"/>
        </w:rPr>
      </w:pPr>
    </w:p>
    <w:p>
      <w:pPr>
        <w:pStyle w:val="61"/>
      </w:pPr>
      <w:r>
        <w:rPr>
          <w:rFonts w:hint="eastAsia"/>
        </w:rPr>
        <w:t>下述签字人在证书中证明本资格文件中的内容是真实的和正确的。</w:t>
      </w:r>
    </w:p>
    <w:p>
      <w:pPr>
        <w:spacing w:line="560" w:lineRule="exact"/>
        <w:rPr>
          <w:rFonts w:ascii="方正仿宋简体" w:hAnsi="MS Sans Serif" w:eastAsia="方正仿宋简体"/>
          <w:kern w:val="2"/>
          <w:sz w:val="32"/>
          <w:szCs w:val="32"/>
        </w:rPr>
      </w:pPr>
    </w:p>
    <w:p>
      <w:pPr>
        <w:pStyle w:val="61"/>
      </w:pPr>
      <w:r>
        <w:rPr>
          <w:rFonts w:hint="eastAsia" w:hAnsi="宋体" w:cs="宋体"/>
        </w:rPr>
        <w:t>投标人名称（公章）</w:t>
      </w:r>
      <w:r>
        <w:rPr>
          <w:rFonts w:hint="eastAsia"/>
          <w:u w:val="single"/>
        </w:rPr>
        <w:t xml:space="preserve">                 </w:t>
      </w:r>
    </w:p>
    <w:p>
      <w:pPr>
        <w:pStyle w:val="61"/>
        <w:rPr>
          <w:rFonts w:hint="eastAsia"/>
        </w:rPr>
      </w:pPr>
      <w:r>
        <w:rPr>
          <w:rFonts w:hint="eastAsia"/>
        </w:rPr>
        <w:t>签字人姓名、职务（印刷字体）：</w:t>
      </w:r>
    </w:p>
    <w:p>
      <w:pPr>
        <w:pStyle w:val="61"/>
      </w:pPr>
    </w:p>
    <w:p>
      <w:pPr>
        <w:pStyle w:val="61"/>
        <w:rPr>
          <w:rFonts w:hint="eastAsia"/>
        </w:rPr>
      </w:pPr>
      <w:r>
        <w:rPr>
          <w:rFonts w:hint="eastAsia"/>
        </w:rPr>
        <w:t>签字</w:t>
      </w:r>
      <w:r>
        <w:t>______________________</w:t>
      </w:r>
    </w:p>
    <w:p>
      <w:pPr>
        <w:pStyle w:val="61"/>
        <w:rPr>
          <w:rFonts w:hint="eastAsia"/>
        </w:rPr>
      </w:pPr>
    </w:p>
    <w:p>
      <w:pPr>
        <w:pStyle w:val="61"/>
        <w:rPr>
          <w:rFonts w:hint="eastAsia"/>
        </w:rPr>
      </w:pPr>
      <w:r>
        <w:rPr>
          <w:rFonts w:hint="eastAsia"/>
        </w:rPr>
        <w:t>地址</w:t>
      </w:r>
      <w:r>
        <w:t>______________________</w:t>
      </w:r>
      <w:r>
        <w:rPr>
          <w:rFonts w:hint="eastAsia"/>
        </w:rPr>
        <w:t>邮编</w:t>
      </w:r>
      <w:r>
        <w:t>____________</w:t>
      </w:r>
    </w:p>
    <w:p>
      <w:pPr>
        <w:pStyle w:val="61"/>
        <w:rPr>
          <w:rFonts w:hint="eastAsia"/>
        </w:rPr>
      </w:pPr>
    </w:p>
    <w:p>
      <w:pPr>
        <w:pStyle w:val="61"/>
      </w:pPr>
      <w:r>
        <w:rPr>
          <w:rFonts w:hint="eastAsia"/>
        </w:rPr>
        <w:t>电话</w:t>
      </w:r>
      <w:r>
        <w:t>______________________</w:t>
      </w:r>
      <w:r>
        <w:rPr>
          <w:rFonts w:hint="eastAsia"/>
        </w:rPr>
        <w:t>传真</w:t>
      </w:r>
      <w:bookmarkStart w:id="399" w:name="_Toc204592964"/>
      <w:bookmarkStart w:id="400" w:name="_Toc244261290"/>
      <w:r>
        <w:t>____________</w:t>
      </w:r>
    </w:p>
    <w:p>
      <w:pPr>
        <w:pStyle w:val="61"/>
        <w:ind w:firstLine="0" w:firstLineChars="0"/>
        <w:outlineLvl w:val="1"/>
        <w:rPr>
          <w:rStyle w:val="82"/>
          <w:rFonts w:ascii="方正仿宋简体" w:hAnsi="方正仿宋简体" w:eastAsia="方正仿宋简体"/>
          <w:b/>
          <w:sz w:val="32"/>
          <w:szCs w:val="23"/>
        </w:rPr>
      </w:pPr>
      <w:bookmarkStart w:id="401" w:name="_Toc307924182"/>
      <w:r>
        <w:br w:type="page"/>
      </w:r>
      <w:bookmarkEnd w:id="399"/>
      <w:bookmarkEnd w:id="400"/>
      <w:bookmarkEnd w:id="401"/>
      <w:bookmarkStart w:id="402" w:name="_Toc363454552"/>
      <w:bookmarkStart w:id="403" w:name="_Toc363125359"/>
      <w:bookmarkStart w:id="404" w:name="_Toc244261294"/>
      <w:bookmarkStart w:id="405" w:name="_Toc10166"/>
      <w:bookmarkStart w:id="406" w:name="_Toc204592970"/>
      <w:bookmarkStart w:id="407" w:name="_Toc363059663"/>
      <w:bookmarkStart w:id="408" w:name="_Toc307924185"/>
      <w:bookmarkStart w:id="409" w:name="_Toc363128953"/>
      <w:bookmarkStart w:id="410" w:name="_Toc363134251"/>
      <w:bookmarkStart w:id="411" w:name="_Toc363127813"/>
      <w:r>
        <w:rPr>
          <w:rFonts w:hint="eastAsia"/>
        </w:rPr>
        <w:t>格式Ⅳ</w:t>
      </w:r>
      <w:r>
        <w:t>-</w:t>
      </w:r>
      <w:r>
        <w:rPr>
          <w:rFonts w:hint="eastAsia"/>
        </w:rPr>
        <w:t>8</w:t>
      </w:r>
      <w:r>
        <w:t>-</w:t>
      </w:r>
      <w:r>
        <w:rPr>
          <w:rFonts w:hint="eastAsia"/>
        </w:rPr>
        <w:t>2．法律纠纷情况</w:t>
      </w:r>
      <w:bookmarkEnd w:id="402"/>
      <w:bookmarkEnd w:id="403"/>
      <w:bookmarkEnd w:id="404"/>
      <w:bookmarkEnd w:id="405"/>
      <w:bookmarkEnd w:id="406"/>
      <w:bookmarkEnd w:id="407"/>
      <w:bookmarkEnd w:id="408"/>
      <w:bookmarkEnd w:id="409"/>
      <w:bookmarkEnd w:id="410"/>
      <w:bookmarkEnd w:id="411"/>
    </w:p>
    <w:p>
      <w:pPr>
        <w:jc w:val="center"/>
        <w:rPr>
          <w:b/>
          <w:sz w:val="32"/>
          <w:szCs w:val="32"/>
        </w:rPr>
      </w:pPr>
      <w:bookmarkStart w:id="412" w:name="_Toc310252889"/>
      <w:r>
        <w:rPr>
          <w:rFonts w:hint="eastAsia"/>
          <w:b/>
          <w:sz w:val="32"/>
          <w:szCs w:val="32"/>
        </w:rPr>
        <w:t>法律纠纷情况</w:t>
      </w:r>
      <w:bookmarkEnd w:id="412"/>
    </w:p>
    <w:p>
      <w:pPr>
        <w:pStyle w:val="61"/>
        <w:ind w:firstLine="0" w:firstLineChars="0"/>
      </w:pPr>
      <w:r>
        <w:rPr>
          <w:rFonts w:hint="eastAsia"/>
        </w:rPr>
        <w:t>制造商和代理商应如实填写：</w:t>
      </w:r>
    </w:p>
    <w:p>
      <w:pPr>
        <w:pStyle w:val="61"/>
        <w:rPr>
          <w:rFonts w:hint="eastAsia"/>
        </w:rPr>
      </w:pPr>
      <w:r>
        <w:rPr>
          <w:rFonts w:hint="eastAsia"/>
        </w:rPr>
        <w:t>一、贵方目前是否正在涉及或面临尚未解决，对贵方影响巨大的诉讼案件？</w:t>
      </w:r>
    </w:p>
    <w:p>
      <w:pPr>
        <w:pStyle w:val="61"/>
        <w:ind w:firstLine="840" w:firstLineChars="400"/>
        <w:rPr>
          <w:rFonts w:hint="eastAsia"/>
        </w:rPr>
      </w:pPr>
      <w:r>
        <w:rPr>
          <w:rFonts w:hint="eastAsia"/>
        </w:rPr>
        <w:t>选择:  1、是         2、否</w:t>
      </w:r>
    </w:p>
    <w:p>
      <w:pPr>
        <w:pStyle w:val="61"/>
        <w:ind w:firstLine="840" w:firstLineChars="400"/>
        <w:rPr>
          <w:rFonts w:hint="eastAsia"/>
        </w:rPr>
      </w:pPr>
      <w:r>
        <w:rPr>
          <w:rFonts w:hint="eastAsia"/>
        </w:rPr>
        <w:t>如果有，请简单说明情况：</w:t>
      </w:r>
    </w:p>
    <w:p>
      <w:pPr>
        <w:pStyle w:val="61"/>
        <w:rPr>
          <w:rFonts w:hint="eastAsia"/>
        </w:rPr>
      </w:pPr>
    </w:p>
    <w:p>
      <w:pPr>
        <w:pStyle w:val="61"/>
        <w:rPr>
          <w:rFonts w:hint="eastAsia"/>
        </w:rPr>
      </w:pPr>
      <w:r>
        <w:rPr>
          <w:rFonts w:hint="eastAsia"/>
        </w:rPr>
        <w:t>二、贵公司及分支机构或建议联合供货体的任何成员在过去</w:t>
      </w:r>
      <w:r>
        <w:t>10</w:t>
      </w:r>
      <w:r>
        <w:rPr>
          <w:rFonts w:hint="eastAsia"/>
        </w:rPr>
        <w:t>年中是否涉及任何诉讼案件？</w:t>
      </w:r>
    </w:p>
    <w:p>
      <w:pPr>
        <w:pStyle w:val="61"/>
        <w:ind w:firstLine="840" w:firstLineChars="400"/>
        <w:rPr>
          <w:rFonts w:hint="eastAsia"/>
        </w:rPr>
      </w:pPr>
      <w:r>
        <w:rPr>
          <w:rFonts w:hint="eastAsia"/>
        </w:rPr>
        <w:t>选择：1、是         2、否</w:t>
      </w:r>
    </w:p>
    <w:p>
      <w:pPr>
        <w:pStyle w:val="61"/>
        <w:ind w:firstLine="840" w:firstLineChars="400"/>
        <w:rPr>
          <w:rFonts w:hint="eastAsia"/>
        </w:rPr>
      </w:pPr>
      <w:r>
        <w:rPr>
          <w:rFonts w:hint="eastAsia"/>
        </w:rPr>
        <w:t>如果是，请写明诉讼案的现状：</w:t>
      </w:r>
    </w:p>
    <w:p>
      <w:pPr>
        <w:pStyle w:val="61"/>
        <w:ind w:firstLine="840" w:firstLineChars="400"/>
        <w:rPr>
          <w:rFonts w:hint="eastAsia"/>
        </w:rPr>
      </w:pPr>
    </w:p>
    <w:p>
      <w:pPr>
        <w:pStyle w:val="61"/>
        <w:ind w:firstLine="840" w:firstLineChars="400"/>
      </w:pPr>
    </w:p>
    <w:p>
      <w:pPr>
        <w:spacing w:before="159" w:beforeLines="50" w:after="159" w:afterLines="50" w:line="560" w:lineRule="exact"/>
        <w:jc w:val="both"/>
        <w:rPr>
          <w:rFonts w:ascii="方正仿宋简体" w:hAnsi="MS Sans Serif" w:eastAsia="方正仿宋简体"/>
          <w:kern w:val="2"/>
          <w:sz w:val="32"/>
          <w:szCs w:val="32"/>
        </w:rPr>
      </w:pPr>
    </w:p>
    <w:p>
      <w:pPr>
        <w:pStyle w:val="61"/>
        <w:rPr>
          <w:u w:val="single"/>
        </w:rPr>
      </w:pPr>
      <w:r>
        <w:rPr>
          <w:rFonts w:hint="eastAsia"/>
        </w:rPr>
        <w:t>投标人名称（公章）</w:t>
      </w:r>
      <w:r>
        <w:rPr>
          <w:u w:val="single"/>
        </w:rPr>
        <w:t xml:space="preserve">                  </w:t>
      </w:r>
    </w:p>
    <w:p>
      <w:pPr>
        <w:pStyle w:val="61"/>
        <w:rPr>
          <w:rFonts w:hint="eastAsia"/>
        </w:rPr>
      </w:pPr>
      <w:r>
        <w:rPr>
          <w:rFonts w:hint="eastAsia"/>
        </w:rPr>
        <w:t>签字人姓名、职务（印刷字体）：</w:t>
      </w:r>
    </w:p>
    <w:p>
      <w:pPr>
        <w:pStyle w:val="61"/>
      </w:pPr>
    </w:p>
    <w:p>
      <w:pPr>
        <w:pStyle w:val="61"/>
        <w:rPr>
          <w:rFonts w:hint="eastAsia"/>
          <w:u w:val="single"/>
        </w:rPr>
      </w:pPr>
      <w:r>
        <w:rPr>
          <w:rFonts w:hint="eastAsia"/>
        </w:rPr>
        <w:t>签字</w:t>
      </w:r>
      <w:r>
        <w:rPr>
          <w:u w:val="single"/>
        </w:rPr>
        <w:t xml:space="preserve">                               </w:t>
      </w:r>
    </w:p>
    <w:p>
      <w:pPr>
        <w:pStyle w:val="61"/>
        <w:rPr>
          <w:rFonts w:hint="eastAsia"/>
        </w:rPr>
      </w:pPr>
    </w:p>
    <w:p>
      <w:pPr>
        <w:pStyle w:val="61"/>
        <w:rPr>
          <w:rFonts w:hint="eastAsia"/>
          <w:u w:val="single"/>
        </w:rPr>
      </w:pPr>
      <w:r>
        <w:rPr>
          <w:rFonts w:hint="eastAsia"/>
        </w:rPr>
        <w:t>地址</w:t>
      </w:r>
      <w:r>
        <w:rPr>
          <w:u w:val="single"/>
        </w:rPr>
        <w:t xml:space="preserve">                               </w:t>
      </w:r>
    </w:p>
    <w:p>
      <w:pPr>
        <w:pStyle w:val="61"/>
        <w:rPr>
          <w:rFonts w:hint="eastAsia"/>
        </w:rPr>
      </w:pPr>
    </w:p>
    <w:p>
      <w:pPr>
        <w:pStyle w:val="61"/>
        <w:rPr>
          <w:rFonts w:hint="eastAsia"/>
          <w:u w:val="single"/>
        </w:rPr>
      </w:pPr>
      <w:r>
        <w:rPr>
          <w:rFonts w:hint="eastAsia"/>
        </w:rPr>
        <w:t>电话</w:t>
      </w:r>
      <w:r>
        <w:rPr>
          <w:u w:val="single"/>
        </w:rPr>
        <w:t xml:space="preserve">                               </w:t>
      </w:r>
    </w:p>
    <w:p>
      <w:pPr>
        <w:pStyle w:val="61"/>
        <w:rPr>
          <w:rFonts w:hint="eastAsia"/>
        </w:rPr>
      </w:pPr>
    </w:p>
    <w:p>
      <w:pPr>
        <w:pStyle w:val="61"/>
        <w:rPr>
          <w:rFonts w:hint="eastAsia"/>
          <w:u w:val="single"/>
        </w:rPr>
      </w:pPr>
      <w:r>
        <w:rPr>
          <w:rFonts w:hint="eastAsia"/>
        </w:rPr>
        <w:t>传真</w:t>
      </w:r>
      <w:r>
        <w:rPr>
          <w:u w:val="single"/>
        </w:rPr>
        <w:t xml:space="preserve">                               </w:t>
      </w:r>
    </w:p>
    <w:p>
      <w:pPr>
        <w:pStyle w:val="61"/>
        <w:rPr>
          <w:rFonts w:hint="eastAsia"/>
        </w:rPr>
      </w:pPr>
    </w:p>
    <w:p>
      <w:pPr>
        <w:pStyle w:val="61"/>
        <w:rPr>
          <w:snapToGrid w:val="0"/>
          <w:sz w:val="20"/>
        </w:rPr>
      </w:pPr>
      <w:r>
        <w:rPr>
          <w:rFonts w:hint="eastAsia"/>
        </w:rPr>
        <w:t>邮编</w:t>
      </w:r>
      <w:r>
        <w:rPr>
          <w:u w:val="single"/>
        </w:rPr>
        <w:t xml:space="preserve">                               </w:t>
      </w:r>
    </w:p>
    <w:p>
      <w:pPr>
        <w:pStyle w:val="61"/>
        <w:rPr>
          <w:rFonts w:hint="eastAsia"/>
          <w:u w:val="single"/>
        </w:rPr>
      </w:pPr>
    </w:p>
    <w:p>
      <w:pPr>
        <w:pStyle w:val="61"/>
        <w:ind w:firstLine="0" w:firstLineChars="0"/>
        <w:outlineLvl w:val="1"/>
        <w:rPr>
          <w:rStyle w:val="82"/>
          <w:rFonts w:ascii="方正仿宋简体" w:hAnsi="方正仿宋简体" w:eastAsia="方正仿宋简体"/>
          <w:b/>
          <w:sz w:val="32"/>
          <w:szCs w:val="23"/>
        </w:rPr>
      </w:pPr>
      <w:r>
        <w:br w:type="page"/>
      </w:r>
      <w:bookmarkStart w:id="413" w:name="_Toc363125360"/>
      <w:bookmarkStart w:id="414" w:name="_Toc17847"/>
      <w:bookmarkStart w:id="415" w:name="_Toc363127814"/>
      <w:bookmarkStart w:id="416" w:name="_Toc363134252"/>
      <w:bookmarkStart w:id="417" w:name="_Toc363059664"/>
      <w:bookmarkStart w:id="418" w:name="_Toc363128954"/>
      <w:bookmarkStart w:id="419" w:name="_Toc363454553"/>
      <w:r>
        <w:rPr>
          <w:rFonts w:hint="eastAsia"/>
        </w:rPr>
        <w:t>格式Ⅳ</w:t>
      </w:r>
      <w:r>
        <w:t>-</w:t>
      </w:r>
      <w:r>
        <w:rPr>
          <w:rFonts w:hint="eastAsia"/>
        </w:rPr>
        <w:t>8</w:t>
      </w:r>
      <w:r>
        <w:t>-</w:t>
      </w:r>
      <w:r>
        <w:rPr>
          <w:rFonts w:hint="eastAsia"/>
        </w:rPr>
        <w:t>3．机密信息接受承诺函</w:t>
      </w:r>
      <w:bookmarkEnd w:id="413"/>
      <w:bookmarkEnd w:id="414"/>
      <w:bookmarkEnd w:id="415"/>
      <w:bookmarkEnd w:id="416"/>
      <w:bookmarkEnd w:id="417"/>
      <w:bookmarkEnd w:id="418"/>
      <w:bookmarkEnd w:id="419"/>
    </w:p>
    <w:p/>
    <w:p>
      <w:pPr>
        <w:jc w:val="center"/>
        <w:rPr>
          <w:b/>
          <w:sz w:val="32"/>
          <w:szCs w:val="32"/>
        </w:rPr>
      </w:pPr>
      <w:r>
        <w:rPr>
          <w:rFonts w:hint="eastAsia"/>
          <w:b/>
          <w:sz w:val="32"/>
          <w:szCs w:val="32"/>
        </w:rPr>
        <w:t>机密信息接受承诺函</w:t>
      </w:r>
    </w:p>
    <w:p>
      <w:pPr>
        <w:pStyle w:val="61"/>
      </w:pPr>
      <w:r>
        <w:rPr>
          <w:rFonts w:hint="eastAsia"/>
        </w:rPr>
        <w:t>本机密信息接受承诺函由</w:t>
      </w:r>
      <w:r>
        <w:rPr>
          <w:u w:val="single"/>
        </w:rPr>
        <w:t xml:space="preserve">       </w:t>
      </w:r>
      <w:r>
        <w:rPr>
          <w:rFonts w:hint="eastAsia"/>
        </w:rPr>
        <w:t>（以下简称“乙方”）针对同</w:t>
      </w:r>
      <w:r>
        <w:rPr>
          <w:rFonts w:ascii="宋体" w:hAnsi="宋体"/>
          <w:b/>
        </w:rPr>
        <w:t>_________</w:t>
      </w:r>
      <w:r>
        <w:rPr>
          <w:rFonts w:hint="eastAsia"/>
        </w:rPr>
        <w:t>公司（以下简称“甲方”）所发放的</w:t>
      </w:r>
      <w:r>
        <w:rPr>
          <w:u w:val="single"/>
        </w:rPr>
        <w:t xml:space="preserve">      </w:t>
      </w:r>
      <w:r>
        <w:rPr>
          <w:rFonts w:hint="eastAsia"/>
        </w:rPr>
        <w:t>号招标文件（以下简称“招标文件”），对从甲方处获得的相关的机密信息的保密工作做出如下承诺：</w:t>
      </w:r>
    </w:p>
    <w:p>
      <w:pPr>
        <w:pStyle w:val="61"/>
      </w:pPr>
      <w:r>
        <w:t xml:space="preserve">8.1 </w:t>
      </w:r>
      <w:r>
        <w:rPr>
          <w:rFonts w:hint="eastAsia"/>
        </w:rPr>
        <w:t>机密信息</w:t>
      </w:r>
    </w:p>
    <w:p>
      <w:pPr>
        <w:pStyle w:val="61"/>
      </w:pPr>
      <w:r>
        <w:rPr>
          <w:rFonts w:hint="eastAsia"/>
        </w:rPr>
        <w:t>本承诺中所称机密信息是指因执行本次招标而直接或间接地接触到的相关组织机构、业务等任何秘密的或专有的信息，包括但不限于以下内容：</w:t>
      </w:r>
    </w:p>
    <w:p>
      <w:pPr>
        <w:pStyle w:val="61"/>
      </w:pPr>
      <w:r>
        <w:t xml:space="preserve">8.1.1 </w:t>
      </w:r>
      <w:r>
        <w:rPr>
          <w:rFonts w:hint="eastAsia"/>
        </w:rPr>
        <w:t>管理经验；</w:t>
      </w:r>
    </w:p>
    <w:p>
      <w:pPr>
        <w:pStyle w:val="61"/>
      </w:pPr>
      <w:r>
        <w:t xml:space="preserve">8.1.2 </w:t>
      </w:r>
      <w:r>
        <w:rPr>
          <w:rFonts w:hint="eastAsia"/>
        </w:rPr>
        <w:t>业务流程、职员资料及内部公开的财务、生产经营资料及为甲方专有的文件资料；</w:t>
      </w:r>
    </w:p>
    <w:p>
      <w:pPr>
        <w:pStyle w:val="61"/>
      </w:pPr>
      <w:r>
        <w:t xml:space="preserve">8.2 </w:t>
      </w:r>
      <w:r>
        <w:rPr>
          <w:rFonts w:hint="eastAsia"/>
        </w:rPr>
        <w:t>机密信息的接受的方式</w:t>
      </w:r>
    </w:p>
    <w:p>
      <w:pPr>
        <w:pStyle w:val="61"/>
      </w:pPr>
      <w:r>
        <w:rPr>
          <w:rFonts w:hint="eastAsia"/>
        </w:rPr>
        <w:t>当甲方欲向乙方透露与其项目相关的机密信息时，此信息包括口头、书面或以其它形式的载体透露给乙方的，乙方有责任按照第三条承诺保密的责任。</w:t>
      </w:r>
    </w:p>
    <w:p>
      <w:pPr>
        <w:pStyle w:val="61"/>
      </w:pPr>
      <w:r>
        <w:t xml:space="preserve">8.3 </w:t>
      </w:r>
      <w:r>
        <w:rPr>
          <w:rFonts w:hint="eastAsia"/>
        </w:rPr>
        <w:t>乙方的保密责任</w:t>
      </w:r>
    </w:p>
    <w:p>
      <w:pPr>
        <w:pStyle w:val="61"/>
      </w:pPr>
      <w:r>
        <w:rPr>
          <w:rFonts w:hint="eastAsia"/>
        </w:rPr>
        <w:t>乙方同意：</w:t>
      </w:r>
    </w:p>
    <w:p>
      <w:pPr>
        <w:pStyle w:val="61"/>
      </w:pPr>
      <w:r>
        <w:t xml:space="preserve">8.3.1 </w:t>
      </w:r>
      <w:r>
        <w:rPr>
          <w:rFonts w:hint="eastAsia"/>
        </w:rPr>
        <w:t>以谨慎的态度避免泄露、公开或传播甲方的机密信息，就如同使用与此相似的，自己不愿其泄露，公开或传播的信息一样；</w:t>
      </w:r>
    </w:p>
    <w:p>
      <w:pPr>
        <w:pStyle w:val="61"/>
      </w:pPr>
      <w:r>
        <w:t xml:space="preserve">8.3.2 </w:t>
      </w:r>
      <w:r>
        <w:rPr>
          <w:rFonts w:hint="eastAsia"/>
        </w:rPr>
        <w:t>为履行项目之目的或在其它方面为了甲方的利益使用甲方的机密信息。</w:t>
      </w:r>
    </w:p>
    <w:p>
      <w:pPr>
        <w:pStyle w:val="61"/>
      </w:pPr>
      <w:r>
        <w:rPr>
          <w:rFonts w:hint="eastAsia"/>
        </w:rPr>
        <w:t>乙方可以将机密信息透露给：</w:t>
      </w:r>
    </w:p>
    <w:p>
      <w:pPr>
        <w:pStyle w:val="61"/>
      </w:pPr>
      <w:r>
        <w:t>(1)</w:t>
      </w:r>
      <w:r>
        <w:rPr>
          <w:rFonts w:hint="eastAsia"/>
        </w:rPr>
        <w:t>为项目进行必须了解该信息的其本身的雇员及其母公司和子公司的雇员或合作方的本项目组成员；</w:t>
      </w:r>
    </w:p>
    <w:p>
      <w:pPr>
        <w:pStyle w:val="61"/>
      </w:pPr>
      <w:r>
        <w:t>(2)</w:t>
      </w:r>
      <w:r>
        <w:rPr>
          <w:rFonts w:hint="eastAsia"/>
        </w:rPr>
        <w:t>经甲方事先书面同意的任何其它地方。</w:t>
      </w:r>
    </w:p>
    <w:p>
      <w:pPr>
        <w:pStyle w:val="61"/>
      </w:pPr>
      <w:r>
        <w:t xml:space="preserve">8.4 </w:t>
      </w:r>
      <w:r>
        <w:rPr>
          <w:rFonts w:hint="eastAsia"/>
        </w:rPr>
        <w:t>保密期限</w:t>
      </w:r>
    </w:p>
    <w:p>
      <w:pPr>
        <w:pStyle w:val="61"/>
      </w:pPr>
      <w:r>
        <w:rPr>
          <w:rFonts w:hint="eastAsia"/>
        </w:rPr>
        <w:t>根据本机密信息接受承诺函，由甲方向乙方透露的信息应自本协议中提到的招标之日起五年止。</w:t>
      </w:r>
    </w:p>
    <w:p>
      <w:pPr>
        <w:pStyle w:val="61"/>
      </w:pPr>
      <w:r>
        <w:t xml:space="preserve">8.5 </w:t>
      </w:r>
      <w:r>
        <w:rPr>
          <w:rFonts w:hint="eastAsia"/>
        </w:rPr>
        <w:t>乙方不承担保密责任的信息</w:t>
      </w:r>
    </w:p>
    <w:p>
      <w:pPr>
        <w:pStyle w:val="61"/>
      </w:pPr>
      <w:r>
        <w:rPr>
          <w:rFonts w:hint="eastAsia"/>
        </w:rPr>
        <w:t>对于下列信息，乙方不承担本机密信息透露协议所规定的保密责任：</w:t>
      </w:r>
    </w:p>
    <w:p>
      <w:pPr>
        <w:pStyle w:val="61"/>
      </w:pPr>
      <w:r>
        <w:t xml:space="preserve">8.5.1 </w:t>
      </w:r>
      <w:r>
        <w:rPr>
          <w:rFonts w:hint="eastAsia"/>
        </w:rPr>
        <w:t>在不承担保密责任的情况下已获取的信息；</w:t>
      </w:r>
    </w:p>
    <w:p>
      <w:pPr>
        <w:pStyle w:val="61"/>
      </w:pPr>
      <w:r>
        <w:t xml:space="preserve">8.5.2 </w:t>
      </w:r>
      <w:r>
        <w:rPr>
          <w:rFonts w:hint="eastAsia"/>
        </w:rPr>
        <w:t>乙方独立开发且不涉及透露方的信息；</w:t>
      </w:r>
    </w:p>
    <w:p>
      <w:pPr>
        <w:pStyle w:val="61"/>
      </w:pPr>
      <w:r>
        <w:t xml:space="preserve">8.5.3 </w:t>
      </w:r>
      <w:r>
        <w:rPr>
          <w:rFonts w:hint="eastAsia"/>
        </w:rPr>
        <w:t>从甲方以外的合法渠道所获得的信息；</w:t>
      </w:r>
    </w:p>
    <w:p>
      <w:pPr>
        <w:pStyle w:val="61"/>
      </w:pPr>
      <w:r>
        <w:t xml:space="preserve">8.5.4 </w:t>
      </w:r>
      <w:r>
        <w:rPr>
          <w:rFonts w:hint="eastAsia"/>
        </w:rPr>
        <w:t>通过公开渠道而非乙方过失而公开的信息；</w:t>
      </w:r>
    </w:p>
    <w:p>
      <w:pPr>
        <w:pStyle w:val="61"/>
      </w:pPr>
      <w:r>
        <w:t xml:space="preserve">8.6 </w:t>
      </w:r>
      <w:r>
        <w:rPr>
          <w:rFonts w:hint="eastAsia"/>
        </w:rPr>
        <w:t>残留信息</w:t>
      </w:r>
    </w:p>
    <w:p>
      <w:pPr>
        <w:pStyle w:val="61"/>
      </w:pPr>
      <w:r>
        <w:rPr>
          <w:rFonts w:hint="eastAsia"/>
        </w:rPr>
        <w:t>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p>
    <w:p>
      <w:pPr>
        <w:pStyle w:val="61"/>
      </w:pPr>
      <w:r>
        <w:rPr>
          <w:rFonts w:hint="eastAsia"/>
        </w:rPr>
        <w:t>但是，除非甲方与乙方就残留信息另有规定，乙方不得透露，公开或传播：</w:t>
      </w:r>
    </w:p>
    <w:p>
      <w:pPr>
        <w:pStyle w:val="61"/>
      </w:pPr>
      <w:r>
        <w:t xml:space="preserve">8.6.1 </w:t>
      </w:r>
      <w:r>
        <w:rPr>
          <w:rFonts w:hint="eastAsia"/>
        </w:rPr>
        <w:t>残留信息源；</w:t>
      </w:r>
    </w:p>
    <w:p>
      <w:pPr>
        <w:pStyle w:val="61"/>
      </w:pPr>
      <w:r>
        <w:t xml:space="preserve">8.6.2 </w:t>
      </w:r>
      <w:r>
        <w:rPr>
          <w:rFonts w:hint="eastAsia"/>
        </w:rPr>
        <w:t>甲方的任何财务、统计或个人数据；</w:t>
      </w:r>
    </w:p>
    <w:p>
      <w:pPr>
        <w:pStyle w:val="61"/>
      </w:pPr>
      <w:r>
        <w:t xml:space="preserve">8.6.3 </w:t>
      </w:r>
      <w:r>
        <w:rPr>
          <w:rFonts w:hint="eastAsia"/>
        </w:rPr>
        <w:t>甲方的业务计划。</w:t>
      </w:r>
    </w:p>
    <w:p>
      <w:pPr>
        <w:pStyle w:val="61"/>
      </w:pPr>
      <w:r>
        <w:t xml:space="preserve">8.7 </w:t>
      </w:r>
      <w:r>
        <w:rPr>
          <w:rFonts w:hint="eastAsia"/>
        </w:rPr>
        <w:t>保密信息的返还</w:t>
      </w:r>
    </w:p>
    <w:p>
      <w:pPr>
        <w:pStyle w:val="61"/>
      </w:pPr>
      <w:r>
        <w:rPr>
          <w:rFonts w:hint="eastAsia"/>
        </w:rPr>
        <w:t>甲方可以在任何时候，书面要求乙方返还或销毁任何因项目而透露的机密信息及其复制品，乙方应于收到甲方的要求后</w:t>
      </w:r>
      <w:r>
        <w:t>7</w:t>
      </w:r>
      <w:r>
        <w:rPr>
          <w:rFonts w:hint="eastAsia"/>
        </w:rPr>
        <w:t>天内返还或销毁该等机密信息及其复制品。乙方不得直接或间接地故意保留或控制任何机密信息及其复印件。</w:t>
      </w:r>
    </w:p>
    <w:p>
      <w:pPr>
        <w:pStyle w:val="61"/>
      </w:pPr>
      <w:r>
        <w:t xml:space="preserve">8.8 </w:t>
      </w:r>
      <w:r>
        <w:rPr>
          <w:rFonts w:hint="eastAsia"/>
        </w:rPr>
        <w:t>不承认条款</w:t>
      </w:r>
    </w:p>
    <w:p>
      <w:pPr>
        <w:pStyle w:val="61"/>
      </w:pPr>
      <w:r>
        <w:t xml:space="preserve">8.8.1 </w:t>
      </w:r>
      <w:r>
        <w:rPr>
          <w:rFonts w:hint="eastAsia"/>
        </w:rPr>
        <w:t>甲方仅“按现状”提供信息；</w:t>
      </w:r>
    </w:p>
    <w:p>
      <w:pPr>
        <w:pStyle w:val="61"/>
      </w:pPr>
      <w:r>
        <w:t xml:space="preserve">8.8.2 </w:t>
      </w:r>
      <w:r>
        <w:rPr>
          <w:rFonts w:hint="eastAsia"/>
        </w:rPr>
        <w:t>甲方对因其透露的信息所引起的任何损害概不承担责任，但甲方明知或应当知道其透露的信息有可能引起任何损害的情况除外；</w:t>
      </w:r>
    </w:p>
    <w:p>
      <w:pPr>
        <w:pStyle w:val="61"/>
      </w:pPr>
      <w:r>
        <w:t xml:space="preserve">8.8.3 </w:t>
      </w:r>
      <w:r>
        <w:rPr>
          <w:rFonts w:hint="eastAsia"/>
        </w:rPr>
        <w:t>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p>
    <w:p>
      <w:pPr>
        <w:pStyle w:val="61"/>
      </w:pPr>
      <w:r>
        <w:t xml:space="preserve">8.8.4 </w:t>
      </w:r>
      <w:r>
        <w:rPr>
          <w:rFonts w:hint="eastAsia"/>
        </w:rPr>
        <w:t>本承诺函并不要求任一方透露或接受信息。</w:t>
      </w:r>
    </w:p>
    <w:p>
      <w:pPr>
        <w:pStyle w:val="61"/>
      </w:pPr>
      <w:r>
        <w:t xml:space="preserve">8.9 </w:t>
      </w:r>
      <w:r>
        <w:rPr>
          <w:rFonts w:hint="eastAsia"/>
        </w:rPr>
        <w:t>适用法律</w:t>
      </w:r>
    </w:p>
    <w:p>
      <w:pPr>
        <w:pStyle w:val="61"/>
      </w:pPr>
      <w:r>
        <w:rPr>
          <w:rFonts w:hint="eastAsia"/>
        </w:rPr>
        <w:t>本承诺函适用中华人民共和国法律。</w:t>
      </w:r>
    </w:p>
    <w:p>
      <w:pPr>
        <w:pStyle w:val="61"/>
      </w:pPr>
      <w:r>
        <w:rPr>
          <w:rFonts w:hint="eastAsia"/>
        </w:rPr>
        <w:t>在本次招标期间，如对本承诺函有异议应协商解决，协商不成应提交</w:t>
      </w:r>
      <w:r>
        <w:rPr>
          <w:rFonts w:hint="eastAsia"/>
          <w:i/>
        </w:rPr>
        <w:t>中国国际经济贸易仲裁委员会</w:t>
      </w:r>
      <w:r>
        <w:rPr>
          <w:rFonts w:hint="eastAsia"/>
        </w:rPr>
        <w:t>，该仲裁判决书是终决的，对甲乙双方均有约束力。</w:t>
      </w:r>
    </w:p>
    <w:p>
      <w:pPr>
        <w:ind w:firstLine="420"/>
      </w:pPr>
      <w:r>
        <w:rPr>
          <w:rFonts w:hint="eastAsia"/>
        </w:rPr>
        <w:t>乙</w:t>
      </w:r>
      <w:r>
        <w:t xml:space="preserve">      </w:t>
      </w:r>
      <w:r>
        <w:rPr>
          <w:rFonts w:hint="eastAsia"/>
        </w:rPr>
        <w:t>方：</w:t>
      </w:r>
      <w:r>
        <w:t xml:space="preserve">__________________ </w:t>
      </w:r>
    </w:p>
    <w:p>
      <w:pPr>
        <w:ind w:firstLine="420"/>
      </w:pPr>
      <w:r>
        <w:rPr>
          <w:rFonts w:hint="eastAsia"/>
        </w:rPr>
        <w:t>负责人签字：</w:t>
      </w:r>
      <w:r>
        <w:t>_________________</w:t>
      </w:r>
    </w:p>
    <w:p>
      <w:pPr>
        <w:ind w:firstLine="420"/>
        <w:rPr>
          <w:rFonts w:ascii="Times New Roman"/>
          <w:b/>
          <w:bCs/>
          <w:sz w:val="29"/>
          <w:szCs w:val="29"/>
        </w:rPr>
      </w:pPr>
      <w:r>
        <w:rPr>
          <w:rFonts w:hint="eastAsia"/>
        </w:rPr>
        <w:t>日</w:t>
      </w:r>
      <w:r>
        <w:t xml:space="preserve">      </w:t>
      </w:r>
      <w:r>
        <w:rPr>
          <w:rFonts w:hint="eastAsia"/>
        </w:rPr>
        <w:t>期：</w:t>
      </w:r>
      <w:r>
        <w:t>_________________</w:t>
      </w:r>
    </w:p>
    <w:p>
      <w:pPr>
        <w:pStyle w:val="68"/>
        <w:spacing w:before="318" w:beforeLines="0" w:after="318" w:afterLines="0"/>
        <w:ind w:left="420"/>
      </w:pPr>
      <w:r>
        <w:br w:type="page"/>
      </w:r>
      <w:bookmarkStart w:id="420" w:name="_Toc307924188"/>
      <w:bookmarkStart w:id="421" w:name="_Toc363127816"/>
      <w:bookmarkStart w:id="422" w:name="_Toc363128956"/>
      <w:bookmarkStart w:id="423" w:name="_Toc363125362"/>
      <w:bookmarkStart w:id="424" w:name="_Toc363059666"/>
      <w:bookmarkStart w:id="425" w:name="_Toc8381"/>
      <w:bookmarkStart w:id="426" w:name="_Toc363134254"/>
      <w:bookmarkStart w:id="427" w:name="_Toc363454555"/>
      <w:r>
        <w:rPr>
          <w:rFonts w:hint="eastAsia"/>
        </w:rPr>
        <w:t>第五章</w:t>
      </w:r>
      <w:r>
        <w:t xml:space="preserve">  </w:t>
      </w:r>
      <w:r>
        <w:rPr>
          <w:rFonts w:hint="eastAsia"/>
        </w:rPr>
        <w:t>合同专用条款</w:t>
      </w:r>
      <w:bookmarkEnd w:id="267"/>
      <w:bookmarkEnd w:id="420"/>
      <w:bookmarkEnd w:id="421"/>
      <w:bookmarkEnd w:id="422"/>
      <w:bookmarkEnd w:id="423"/>
      <w:bookmarkEnd w:id="424"/>
      <w:bookmarkEnd w:id="425"/>
      <w:bookmarkEnd w:id="426"/>
      <w:bookmarkEnd w:id="427"/>
    </w:p>
    <w:p>
      <w:pPr>
        <w:pStyle w:val="61"/>
        <w:ind w:firstLine="0" w:firstLineChars="0"/>
        <w:outlineLvl w:val="1"/>
        <w:rPr>
          <w:rFonts w:hAnsi="MS Sans Serif"/>
        </w:rPr>
      </w:pPr>
      <w:bookmarkStart w:id="428" w:name="_Toc244261270"/>
      <w:bookmarkStart w:id="429" w:name="_Toc363134255"/>
      <w:bookmarkStart w:id="430" w:name="_Toc363454556"/>
      <w:bookmarkStart w:id="431" w:name="_Toc363128957"/>
      <w:bookmarkStart w:id="432" w:name="_Toc363059667"/>
      <w:bookmarkStart w:id="433" w:name="_Toc363125363"/>
      <w:bookmarkStart w:id="434" w:name="_Toc204592926"/>
      <w:bookmarkStart w:id="435" w:name="_Toc307924189"/>
      <w:bookmarkStart w:id="436" w:name="_Toc363127817"/>
      <w:bookmarkStart w:id="437" w:name="_Toc13629"/>
      <w:bookmarkStart w:id="438" w:name="_Toc209405317"/>
      <w:r>
        <w:rPr>
          <w:rFonts w:hint="eastAsia"/>
          <w:b/>
        </w:rPr>
        <w:t>格式Ⅴ</w:t>
      </w:r>
      <w:r>
        <w:rPr>
          <w:b/>
        </w:rPr>
        <w:t>-1</w:t>
      </w:r>
      <w:r>
        <w:rPr>
          <w:rFonts w:hint="eastAsia"/>
          <w:b/>
        </w:rPr>
        <w:t>．合同</w:t>
      </w:r>
      <w:bookmarkEnd w:id="428"/>
      <w:bookmarkEnd w:id="429"/>
      <w:bookmarkEnd w:id="430"/>
      <w:bookmarkEnd w:id="431"/>
      <w:bookmarkEnd w:id="432"/>
      <w:bookmarkEnd w:id="433"/>
      <w:bookmarkEnd w:id="434"/>
      <w:bookmarkEnd w:id="435"/>
      <w:bookmarkEnd w:id="436"/>
      <w:r>
        <w:rPr>
          <w:rFonts w:hint="eastAsia"/>
          <w:b/>
        </w:rPr>
        <w:t>专用条款</w:t>
      </w:r>
      <w:bookmarkEnd w:id="437"/>
    </w:p>
    <w:p>
      <w:pPr>
        <w:spacing w:line="360" w:lineRule="auto"/>
        <w:ind w:firstLine="420" w:firstLineChars="200"/>
        <w:rPr>
          <w:rFonts w:hint="eastAsia" w:ascii="Times New Roman"/>
          <w:szCs w:val="21"/>
        </w:rPr>
      </w:pPr>
      <w:bookmarkStart w:id="439" w:name="_Toc363134256"/>
      <w:bookmarkStart w:id="440" w:name="_Toc363454557"/>
      <w:bookmarkStart w:id="441" w:name="_Toc363128958"/>
      <w:bookmarkStart w:id="442" w:name="_Toc363059668"/>
      <w:bookmarkStart w:id="443" w:name="_Toc363127818"/>
      <w:bookmarkStart w:id="444" w:name="_Toc363125364"/>
      <w:bookmarkStart w:id="445" w:name="_Toc307924195"/>
      <w:bookmarkStart w:id="446" w:name="_Toc310252922"/>
      <w:r>
        <w:rPr>
          <w:rFonts w:hint="eastAsia" w:ascii="Times New Roman"/>
          <w:szCs w:val="21"/>
        </w:rPr>
        <w:t>1、付款条件与方式，出卖人可选择以下两种付款方式其中一种：</w:t>
      </w:r>
    </w:p>
    <w:p>
      <w:pPr>
        <w:spacing w:line="360" w:lineRule="auto"/>
        <w:ind w:firstLine="420" w:firstLineChars="200"/>
        <w:rPr>
          <w:rFonts w:hint="eastAsia" w:ascii="Times New Roman"/>
          <w:szCs w:val="21"/>
        </w:rPr>
      </w:pPr>
      <w:r>
        <w:rPr>
          <w:rFonts w:hint="eastAsia" w:ascii="Times New Roman"/>
          <w:szCs w:val="21"/>
        </w:rPr>
        <w:t>① 结算挂账后，支付50%的银行存款、50%的承兑汇票。其中：银行存款的支付期、承兑汇票的出票期不得超过60日，承兑汇票的到期日为挂账期满180日。(质保金除外)</w:t>
      </w:r>
    </w:p>
    <w:p>
      <w:pPr>
        <w:spacing w:line="360" w:lineRule="auto"/>
        <w:ind w:firstLine="420" w:firstLineChars="200"/>
        <w:rPr>
          <w:rFonts w:hint="eastAsia" w:ascii="Times New Roman"/>
          <w:szCs w:val="21"/>
        </w:rPr>
      </w:pPr>
      <w:r>
        <w:rPr>
          <w:rFonts w:hint="eastAsia" w:ascii="Times New Roman"/>
          <w:szCs w:val="21"/>
        </w:rPr>
        <w:t>② 结算挂账后60日内，支付50%的银行存款，余款在挂账期满180日后的10个工作日内，以银行存款一次性支付。(质保金除外)</w:t>
      </w:r>
    </w:p>
    <w:p>
      <w:pPr>
        <w:spacing w:line="360" w:lineRule="auto"/>
        <w:ind w:firstLine="420" w:firstLineChars="200"/>
        <w:rPr>
          <w:rFonts w:hint="eastAsia" w:ascii="Times New Roman"/>
          <w:szCs w:val="21"/>
        </w:rPr>
      </w:pPr>
      <w:r>
        <w:rPr>
          <w:rFonts w:hint="eastAsia" w:ascii="Times New Roman"/>
          <w:szCs w:val="21"/>
        </w:rPr>
        <w:t>2、出卖人对中标产品作出的相关承诺等有关采购信息将纳入合同文本。</w:t>
      </w:r>
    </w:p>
    <w:p>
      <w:pPr>
        <w:spacing w:line="360" w:lineRule="auto"/>
        <w:ind w:firstLine="420" w:firstLineChars="200"/>
        <w:rPr>
          <w:rFonts w:hint="eastAsia" w:ascii="Times New Roman"/>
          <w:szCs w:val="21"/>
        </w:rPr>
      </w:pPr>
      <w:r>
        <w:rPr>
          <w:rFonts w:hint="eastAsia" w:ascii="Times New Roman"/>
          <w:szCs w:val="21"/>
        </w:rPr>
        <w:t>3、代储代销按《辽河油田公司物资代储代销管理细则》执行（代储代销费率按实际结算标的额的2%收取）。</w:t>
      </w:r>
    </w:p>
    <w:p>
      <w:pPr>
        <w:spacing w:line="360" w:lineRule="auto"/>
        <w:ind w:firstLine="420" w:firstLineChars="200"/>
        <w:rPr>
          <w:rFonts w:hint="eastAsia" w:ascii="Times New Roman"/>
          <w:szCs w:val="21"/>
        </w:rPr>
      </w:pPr>
      <w:r>
        <w:rPr>
          <w:rFonts w:hint="eastAsia" w:ascii="Times New Roman"/>
          <w:szCs w:val="21"/>
        </w:rPr>
        <w:t>4、质量要求及技术标准：按不低于买受人要求的产品标准执行。出卖人对质量实行三包：修理、更换、退货，因质量问题造成的一切损失由出卖人负责。</w:t>
      </w:r>
    </w:p>
    <w:p>
      <w:pPr>
        <w:spacing w:line="360" w:lineRule="auto"/>
        <w:ind w:firstLine="420" w:firstLineChars="200"/>
        <w:rPr>
          <w:rFonts w:hint="eastAsia" w:ascii="Times New Roman"/>
          <w:szCs w:val="21"/>
        </w:rPr>
      </w:pPr>
      <w:r>
        <w:rPr>
          <w:rFonts w:hint="eastAsia" w:ascii="Times New Roman"/>
          <w:szCs w:val="21"/>
        </w:rPr>
        <w:t>5、运输费用：由出卖人负责运抵买受人指定地点，期间所发生的全部费用由出卖人承担。</w:t>
      </w:r>
    </w:p>
    <w:p>
      <w:pPr>
        <w:spacing w:line="360" w:lineRule="auto"/>
        <w:ind w:firstLine="420" w:firstLineChars="200"/>
        <w:rPr>
          <w:rFonts w:hint="eastAsia" w:ascii="Times New Roman"/>
          <w:szCs w:val="21"/>
        </w:rPr>
      </w:pPr>
      <w:r>
        <w:rPr>
          <w:rFonts w:hint="eastAsia" w:ascii="Times New Roman"/>
          <w:szCs w:val="21"/>
        </w:rPr>
        <w:t>6、验收方式：由买受人按合同约定组织验收。</w:t>
      </w:r>
    </w:p>
    <w:p>
      <w:pPr>
        <w:spacing w:line="360" w:lineRule="auto"/>
        <w:ind w:firstLine="420" w:firstLineChars="200"/>
        <w:rPr>
          <w:rFonts w:hint="eastAsia" w:ascii="Times New Roman"/>
          <w:szCs w:val="21"/>
        </w:rPr>
      </w:pPr>
      <w:r>
        <w:rPr>
          <w:rFonts w:hint="eastAsia" w:ascii="Times New Roman"/>
          <w:szCs w:val="21"/>
        </w:rPr>
        <w:t>7、包装要求：（1）包装物供应及标识：由出卖人免费提供，满足产品执行标准要求；各项标识清晰完备，满足产品执行标准要求。</w:t>
      </w:r>
    </w:p>
    <w:p>
      <w:pPr>
        <w:spacing w:line="360" w:lineRule="auto"/>
        <w:ind w:firstLine="420" w:firstLineChars="200"/>
        <w:rPr>
          <w:rFonts w:hint="eastAsia" w:ascii="Times New Roman"/>
          <w:szCs w:val="21"/>
        </w:rPr>
      </w:pPr>
      <w:r>
        <w:rPr>
          <w:rFonts w:hint="eastAsia" w:ascii="Times New Roman"/>
          <w:szCs w:val="21"/>
        </w:rPr>
        <w:t>（2）包装不符合标准或约定，造成货物毁损灭失或其他后果的，由出卖人承担相应责任。</w:t>
      </w:r>
    </w:p>
    <w:p>
      <w:pPr>
        <w:spacing w:line="360" w:lineRule="auto"/>
        <w:ind w:firstLine="420" w:firstLineChars="200"/>
        <w:rPr>
          <w:rFonts w:hint="eastAsia" w:ascii="Times New Roman"/>
          <w:szCs w:val="21"/>
        </w:rPr>
      </w:pPr>
      <w:r>
        <w:rPr>
          <w:rFonts w:hint="eastAsia" w:ascii="Times New Roman"/>
          <w:szCs w:val="21"/>
        </w:rPr>
        <w:t>8、履约保证金：买受人依规适时收取履约保证金和质保金。重点工程项目收取价款金额10%的履约保证金，合同标的物验收合格后20日内返还。如果出卖人未按合同约定日期交货，逾期 10 日未交货，直接扣除履约保证金的60%。</w:t>
      </w:r>
    </w:p>
    <w:p>
      <w:pPr>
        <w:spacing w:line="360" w:lineRule="auto"/>
        <w:ind w:firstLine="420" w:firstLineChars="200"/>
        <w:rPr>
          <w:rFonts w:hint="eastAsia" w:ascii="Times New Roman"/>
          <w:szCs w:val="21"/>
        </w:rPr>
      </w:pPr>
      <w:r>
        <w:rPr>
          <w:rFonts w:hint="eastAsia" w:ascii="Times New Roman"/>
          <w:szCs w:val="21"/>
        </w:rPr>
        <w:t>9、违约责任：出卖人未按合同约定交货，或需要出卖人对设备进行安装、调试、培训和售后服务的，出卖人未履行约定每逾期1日（日历日），应向买受人支付货款金额0.1%的违约金；对于重点工程项目物资出卖人未履行约定每逾期1日（日历日），应向买受人支付货款金额 0.3% 的违约金，给买受人造成损失的出卖人应负责赔偿。逾期 15日未交货，或仍不能完成对设备的安装调试的，买受人有权解除合同。</w:t>
      </w:r>
    </w:p>
    <w:p>
      <w:pPr>
        <w:spacing w:line="360" w:lineRule="auto"/>
        <w:ind w:firstLine="420" w:firstLineChars="200"/>
        <w:rPr>
          <w:rFonts w:hint="eastAsia" w:ascii="Times New Roman"/>
          <w:szCs w:val="21"/>
        </w:rPr>
      </w:pPr>
      <w:r>
        <w:rPr>
          <w:rFonts w:hint="eastAsia" w:ascii="Times New Roman"/>
          <w:szCs w:val="21"/>
        </w:rPr>
        <w:t>10、解决合同纠纷的方式：双方协商或通过买受人住所地人民法院诉讼解决。</w:t>
      </w:r>
    </w:p>
    <w:p>
      <w:pPr>
        <w:spacing w:line="360" w:lineRule="auto"/>
        <w:ind w:firstLine="420" w:firstLineChars="200"/>
        <w:rPr>
          <w:rFonts w:hint="eastAsia" w:ascii="Times New Roman"/>
          <w:szCs w:val="21"/>
        </w:rPr>
      </w:pPr>
      <w:r>
        <w:rPr>
          <w:rFonts w:hint="eastAsia" w:ascii="Times New Roman"/>
          <w:szCs w:val="21"/>
        </w:rPr>
        <w:t>11、投标人在投标报价的同时应标明相应的品牌、制造商。中标人在签约前应提供有效的图片、质量标准及产品的技术参数和使用说明，要充分体现产品特性，供货时将作为验收的依据。对同一类系列产品，如果只有尺寸规格等差异，可以只提供一幅图片。</w:t>
      </w:r>
    </w:p>
    <w:p>
      <w:pPr>
        <w:spacing w:line="360" w:lineRule="auto"/>
        <w:ind w:firstLine="420" w:firstLineChars="200"/>
        <w:rPr>
          <w:rFonts w:hint="eastAsia" w:ascii="Times New Roman"/>
          <w:szCs w:val="21"/>
        </w:rPr>
      </w:pPr>
      <w:r>
        <w:rPr>
          <w:rFonts w:hint="eastAsia" w:ascii="Times New Roman"/>
          <w:szCs w:val="21"/>
        </w:rPr>
        <w:t>12、本包别物资价格为直达物资分公司储运公司、区域物资供应中心或指定使用现场（辽河油区）价格。</w:t>
      </w:r>
    </w:p>
    <w:p>
      <w:pPr>
        <w:spacing w:line="360" w:lineRule="auto"/>
        <w:ind w:firstLine="420" w:firstLineChars="200"/>
        <w:rPr>
          <w:rFonts w:hint="eastAsia" w:ascii="Times New Roman"/>
          <w:szCs w:val="21"/>
        </w:rPr>
      </w:pPr>
      <w:r>
        <w:rPr>
          <w:rFonts w:hint="eastAsia" w:ascii="Times New Roman"/>
          <w:szCs w:val="21"/>
        </w:rPr>
        <w:t>13、中标人对招标人的电子采购系统2.0相关管理要求及共享商城建设应给予配合。</w:t>
      </w:r>
    </w:p>
    <w:p>
      <w:pPr>
        <w:spacing w:line="360" w:lineRule="auto"/>
        <w:ind w:firstLine="420" w:firstLineChars="200"/>
        <w:rPr>
          <w:rFonts w:hint="eastAsia" w:ascii="Times New Roman"/>
          <w:szCs w:val="21"/>
        </w:rPr>
      </w:pPr>
      <w:r>
        <w:rPr>
          <w:rFonts w:hint="eastAsia" w:ascii="Times New Roman"/>
          <w:szCs w:val="21"/>
        </w:rPr>
        <w:t>14、招标代理费收取按《辽河油田公司采购活动收取费用管理细则》中油辽字【2019】218号执行，具体的招标代理费收取方法和数额由招标中心在招标文件中予以明确。</w:t>
      </w:r>
    </w:p>
    <w:p>
      <w:pPr>
        <w:spacing w:line="360" w:lineRule="auto"/>
        <w:ind w:firstLine="420" w:firstLineChars="200"/>
        <w:rPr>
          <w:rFonts w:hint="eastAsia" w:ascii="Times New Roman"/>
          <w:szCs w:val="21"/>
        </w:rPr>
      </w:pPr>
    </w:p>
    <w:p>
      <w:pPr>
        <w:spacing w:line="360" w:lineRule="auto"/>
        <w:ind w:firstLine="420" w:firstLineChars="200"/>
        <w:rPr>
          <w:rFonts w:ascii="Times New Roman"/>
          <w:color w:val="FF0000"/>
          <w:szCs w:val="21"/>
        </w:rPr>
      </w:pPr>
    </w:p>
    <w:p>
      <w:pPr>
        <w:spacing w:line="360" w:lineRule="auto"/>
        <w:ind w:firstLine="420" w:firstLineChars="200"/>
        <w:rPr>
          <w:rFonts w:ascii="Times New Roman"/>
          <w:szCs w:val="21"/>
        </w:rPr>
      </w:pPr>
    </w:p>
    <w:p>
      <w:pPr>
        <w:pStyle w:val="68"/>
        <w:spacing w:before="318" w:beforeLines="0" w:after="318" w:afterLines="0"/>
        <w:ind w:left="420"/>
        <w:rPr>
          <w:rFonts w:hint="eastAsia"/>
        </w:rPr>
      </w:pPr>
      <w:bookmarkStart w:id="447" w:name="_Toc30961"/>
      <w:r>
        <w:rPr>
          <w:rFonts w:hint="eastAsia"/>
        </w:rPr>
        <w:t>第六章  产品需求一览表</w:t>
      </w:r>
      <w:bookmarkEnd w:id="447"/>
    </w:p>
    <w:bookmarkEnd w:id="439"/>
    <w:bookmarkEnd w:id="440"/>
    <w:bookmarkEnd w:id="441"/>
    <w:bookmarkEnd w:id="442"/>
    <w:bookmarkEnd w:id="443"/>
    <w:bookmarkEnd w:id="444"/>
    <w:bookmarkEnd w:id="445"/>
    <w:bookmarkEnd w:id="446"/>
    <w:p>
      <w:pPr>
        <w:pStyle w:val="61"/>
      </w:pPr>
      <w:r>
        <w:rPr>
          <w:rFonts w:hint="eastAsia"/>
        </w:rPr>
        <w:t>产品需求一览表详见</w:t>
      </w:r>
      <w:r>
        <w:rPr>
          <w:rFonts w:hint="eastAsia"/>
          <w:b/>
          <w:bCs/>
        </w:rPr>
        <w:t>附件1：</w:t>
      </w:r>
      <w:r>
        <w:rPr>
          <w:rFonts w:hint="eastAsia"/>
          <w:b/>
        </w:rPr>
        <w:t xml:space="preserve">2022年二级物资集中采购32大类电线（JC2022-WⅡ-32-03包）招标明细 </w:t>
      </w:r>
      <w:r>
        <w:rPr>
          <w:rFonts w:hint="eastAsia"/>
        </w:rPr>
        <w:t>。</w:t>
      </w:r>
    </w:p>
    <w:bookmarkEnd w:id="438"/>
    <w:p>
      <w:pPr>
        <w:pStyle w:val="127"/>
        <w:outlineLvl w:val="1"/>
        <w:rPr>
          <w:rFonts w:hint="eastAsia"/>
          <w:sz w:val="24"/>
          <w:szCs w:val="24"/>
        </w:rPr>
      </w:pPr>
      <w:r>
        <w:rPr>
          <w:rFonts w:ascii="楷体_GB2312" w:hAnsi="楷体_GB2312" w:eastAsia="楷体_GB2312"/>
          <w:bCs/>
          <w:sz w:val="27"/>
          <w:szCs w:val="27"/>
        </w:rPr>
        <w:br w:type="page"/>
      </w:r>
      <w:bookmarkEnd w:id="268"/>
      <w:bookmarkEnd w:id="269"/>
      <w:bookmarkEnd w:id="270"/>
      <w:bookmarkEnd w:id="271"/>
      <w:bookmarkEnd w:id="272"/>
      <w:bookmarkEnd w:id="273"/>
      <w:bookmarkEnd w:id="274"/>
      <w:bookmarkEnd w:id="275"/>
      <w:bookmarkStart w:id="448" w:name="_Toc310252924"/>
      <w:bookmarkStart w:id="449" w:name="_Toc209405319"/>
      <w:bookmarkStart w:id="450" w:name="_Toc307924196"/>
      <w:bookmarkStart w:id="451" w:name="_Toc363059669"/>
      <w:bookmarkStart w:id="452" w:name="_Toc363127819"/>
      <w:bookmarkStart w:id="453" w:name="_Toc363128959"/>
      <w:bookmarkStart w:id="454" w:name="_Toc363125365"/>
      <w:bookmarkStart w:id="455" w:name="_Toc363134257"/>
      <w:bookmarkStart w:id="456" w:name="_Toc363454558"/>
      <w:bookmarkStart w:id="457" w:name="_Toc5223"/>
      <w:r>
        <w:rPr>
          <w:rFonts w:hint="eastAsia"/>
          <w:sz w:val="24"/>
          <w:szCs w:val="24"/>
        </w:rPr>
        <w:t>附件</w:t>
      </w:r>
      <w:r>
        <w:rPr>
          <w:sz w:val="24"/>
          <w:szCs w:val="24"/>
        </w:rPr>
        <w:t>1</w:t>
      </w:r>
      <w:r>
        <w:rPr>
          <w:rFonts w:hint="eastAsia"/>
          <w:sz w:val="24"/>
          <w:szCs w:val="24"/>
        </w:rPr>
        <w:t>-1：</w:t>
      </w:r>
      <w:bookmarkEnd w:id="448"/>
      <w:bookmarkEnd w:id="449"/>
      <w:bookmarkEnd w:id="450"/>
      <w:bookmarkStart w:id="458" w:name="_Toc307924197"/>
      <w:r>
        <w:rPr>
          <w:rFonts w:hint="eastAsia"/>
          <w:sz w:val="24"/>
          <w:szCs w:val="24"/>
        </w:rPr>
        <w:t>评标方法</w:t>
      </w:r>
      <w:bookmarkEnd w:id="276"/>
      <w:bookmarkEnd w:id="277"/>
      <w:bookmarkEnd w:id="278"/>
      <w:bookmarkEnd w:id="279"/>
      <w:bookmarkStart w:id="459" w:name="_Toc209405338"/>
      <w:bookmarkStart w:id="460" w:name="_Toc208720668"/>
      <w:r>
        <w:rPr>
          <w:rFonts w:hint="eastAsia"/>
          <w:sz w:val="24"/>
          <w:szCs w:val="24"/>
        </w:rPr>
        <w:t>及授标原则</w:t>
      </w:r>
      <w:bookmarkEnd w:id="451"/>
      <w:bookmarkEnd w:id="452"/>
      <w:bookmarkEnd w:id="453"/>
      <w:bookmarkEnd w:id="454"/>
      <w:bookmarkEnd w:id="455"/>
      <w:bookmarkEnd w:id="456"/>
      <w:bookmarkEnd w:id="457"/>
      <w:r>
        <w:rPr>
          <w:rFonts w:hint="eastAsia"/>
          <w:sz w:val="24"/>
          <w:szCs w:val="24"/>
        </w:rPr>
        <w:t xml:space="preserve"> </w:t>
      </w:r>
      <w:bookmarkEnd w:id="458"/>
      <w:r>
        <w:rPr>
          <w:sz w:val="24"/>
          <w:szCs w:val="24"/>
        </w:rPr>
        <w:t xml:space="preserve"> </w:t>
      </w:r>
      <w:bookmarkEnd w:id="459"/>
      <w:bookmarkEnd w:id="460"/>
      <w:bookmarkStart w:id="461" w:name="_Toc208720658"/>
      <w:bookmarkStart w:id="462" w:name="_Toc209405326"/>
      <w:bookmarkStart w:id="463" w:name="_Toc120019623"/>
      <w:bookmarkStart w:id="464" w:name="_Toc120020263"/>
      <w:bookmarkStart w:id="465" w:name="_Toc120024396"/>
      <w:bookmarkStart w:id="466" w:name="_Toc363059670"/>
      <w:bookmarkStart w:id="467" w:name="_Toc363127820"/>
      <w:bookmarkStart w:id="468" w:name="_Toc120020530"/>
      <w:bookmarkStart w:id="469" w:name="_Toc237363673"/>
      <w:bookmarkStart w:id="470" w:name="_Toc307924199"/>
      <w:bookmarkStart w:id="471" w:name="_Toc120020769"/>
      <w:bookmarkStart w:id="472" w:name="_Toc191716684"/>
      <w:bookmarkStart w:id="473" w:name="_Toc363128960"/>
      <w:bookmarkStart w:id="474" w:name="_Toc363134258"/>
      <w:bookmarkStart w:id="475" w:name="_Toc363454559"/>
      <w:bookmarkStart w:id="476" w:name="_Toc120019343"/>
      <w:bookmarkStart w:id="477" w:name="_Toc363125366"/>
      <w:bookmarkStart w:id="478" w:name="_Toc208715948"/>
    </w:p>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Pr>
        <w:numPr>
          <w:ilvl w:val="0"/>
          <w:numId w:val="7"/>
        </w:numPr>
        <w:spacing w:line="360" w:lineRule="auto"/>
        <w:ind w:firstLine="420" w:firstLineChars="200"/>
        <w:rPr>
          <w:rFonts w:hint="eastAsia" w:hAnsi="宋体" w:cs="宋体"/>
          <w:szCs w:val="21"/>
        </w:rPr>
      </w:pPr>
      <w:r>
        <w:rPr>
          <w:rFonts w:hint="eastAsia" w:hAnsi="宋体" w:cs="宋体"/>
          <w:szCs w:val="21"/>
        </w:rPr>
        <w:t>评标方法</w:t>
      </w:r>
    </w:p>
    <w:p>
      <w:pPr>
        <w:spacing w:line="360" w:lineRule="auto"/>
        <w:ind w:firstLine="420" w:firstLineChars="200"/>
        <w:rPr>
          <w:rFonts w:hint="eastAsia" w:hAnsi="宋体" w:cs="宋体"/>
          <w:szCs w:val="21"/>
        </w:rPr>
      </w:pPr>
      <w:r>
        <w:rPr>
          <w:rFonts w:hint="eastAsia" w:hAnsi="宋体" w:cs="宋体"/>
          <w:szCs w:val="21"/>
        </w:rPr>
        <w:t xml:space="preserve"> 本次招标采用综合评估法，得分采取百分制。主要从投标报价、研发能力、生产技术、质量保证、产品售后服务响应等进行综合评审。</w:t>
      </w:r>
    </w:p>
    <w:p>
      <w:pPr>
        <w:spacing w:line="360" w:lineRule="auto"/>
        <w:ind w:firstLine="420" w:firstLineChars="200"/>
        <w:rPr>
          <w:rFonts w:hint="eastAsia" w:hAnsi="宋体" w:cs="宋体"/>
          <w:szCs w:val="21"/>
        </w:rPr>
      </w:pPr>
      <w:r>
        <w:rPr>
          <w:rFonts w:hint="eastAsia" w:hAnsi="宋体" w:cs="宋体"/>
          <w:szCs w:val="21"/>
        </w:rPr>
        <w:t>投标人综合得分=商务得分+报价得分+技术得分，其中商务得分占15%，报价得分占65%，技术得分占20%，评分细则详见附件1-5。</w:t>
      </w:r>
    </w:p>
    <w:p>
      <w:pPr>
        <w:spacing w:line="360" w:lineRule="auto"/>
        <w:ind w:firstLine="420" w:firstLineChars="200"/>
        <w:rPr>
          <w:rFonts w:hint="eastAsia" w:hAnsi="宋体" w:cs="宋体"/>
          <w:szCs w:val="21"/>
        </w:rPr>
      </w:pPr>
      <w:bookmarkStart w:id="479" w:name="_Toc22384_WPSOffice_Level1"/>
      <w:r>
        <w:rPr>
          <w:rFonts w:hint="eastAsia" w:hAnsi="宋体" w:cs="宋体"/>
          <w:szCs w:val="21"/>
        </w:rPr>
        <w:t>二、价格</w:t>
      </w:r>
      <w:bookmarkEnd w:id="479"/>
    </w:p>
    <w:p>
      <w:pPr>
        <w:spacing w:line="360" w:lineRule="auto"/>
        <w:ind w:firstLine="420" w:firstLineChars="200"/>
        <w:rPr>
          <w:rFonts w:hint="eastAsia" w:hAnsi="宋体" w:cs="宋体"/>
          <w:szCs w:val="21"/>
        </w:rPr>
      </w:pPr>
      <w:r>
        <w:rPr>
          <w:rFonts w:hint="eastAsia" w:hAnsi="宋体" w:cs="宋体"/>
          <w:szCs w:val="21"/>
        </w:rPr>
        <w:t>1、最高投标限价的确定</w:t>
      </w:r>
    </w:p>
    <w:p>
      <w:pPr>
        <w:spacing w:line="360" w:lineRule="auto"/>
        <w:ind w:firstLine="420" w:firstLineChars="200"/>
        <w:rPr>
          <w:rFonts w:hint="eastAsia" w:hAnsi="宋体" w:cs="宋体"/>
          <w:szCs w:val="21"/>
        </w:rPr>
      </w:pPr>
      <w:r>
        <w:rPr>
          <w:rFonts w:hint="eastAsia" w:hAnsi="宋体" w:cs="宋体"/>
          <w:szCs w:val="21"/>
        </w:rPr>
        <w:t>由物资采购价格管理相关部门依据市场调研情况于采购方案批复后5个工作日内按规定程序完成最高投标限价制定。最高限价表应对最高投标限价的制定方法进行说明。</w:t>
      </w:r>
    </w:p>
    <w:p>
      <w:pPr>
        <w:spacing w:line="360" w:lineRule="auto"/>
        <w:ind w:firstLine="420" w:firstLineChars="200"/>
        <w:rPr>
          <w:rFonts w:hint="eastAsia" w:hAnsi="宋体" w:cs="宋体"/>
          <w:szCs w:val="21"/>
        </w:rPr>
      </w:pPr>
      <w:r>
        <w:rPr>
          <w:rFonts w:hint="eastAsia" w:hAnsi="宋体" w:cs="宋体"/>
          <w:szCs w:val="21"/>
        </w:rPr>
        <w:t>2、投标人报价有效性的确定</w:t>
      </w:r>
    </w:p>
    <w:p>
      <w:pPr>
        <w:spacing w:line="360" w:lineRule="auto"/>
        <w:ind w:firstLine="420" w:firstLineChars="200"/>
        <w:rPr>
          <w:rFonts w:hint="eastAsia" w:hAnsi="宋体" w:cs="宋体"/>
          <w:szCs w:val="21"/>
        </w:rPr>
      </w:pPr>
      <w:r>
        <w:rPr>
          <w:rFonts w:hint="eastAsia" w:hAnsi="宋体" w:cs="宋体"/>
          <w:szCs w:val="21"/>
        </w:rPr>
        <w:t>投标人需对本包别所有单项物资报出综合到货含税价格。</w:t>
      </w:r>
    </w:p>
    <w:p>
      <w:pPr>
        <w:spacing w:line="360" w:lineRule="auto"/>
        <w:ind w:firstLine="420" w:firstLineChars="200"/>
        <w:rPr>
          <w:rFonts w:hint="eastAsia" w:hAnsi="宋体" w:cs="宋体"/>
          <w:szCs w:val="21"/>
        </w:rPr>
      </w:pPr>
      <w:r>
        <w:rPr>
          <w:rFonts w:hint="eastAsia" w:hAnsi="宋体" w:cs="宋体"/>
          <w:szCs w:val="21"/>
        </w:rPr>
        <w:t>初审合格投标人单项物资投标报价不高于最高投标限价且不低于成本价为有效报价。如果投标人单项物资报价为超出最高限价、无报价或零报价，则该项物资报价为无效报价，该投标人的投标将被否决。</w:t>
      </w:r>
    </w:p>
    <w:p>
      <w:pPr>
        <w:spacing w:line="360" w:lineRule="auto"/>
        <w:ind w:firstLine="420" w:firstLineChars="200"/>
        <w:rPr>
          <w:rFonts w:hint="eastAsia" w:hAnsi="宋体" w:cs="宋体"/>
          <w:szCs w:val="21"/>
        </w:rPr>
      </w:pPr>
      <w:r>
        <w:rPr>
          <w:rFonts w:hint="eastAsia" w:hAnsi="宋体" w:cs="宋体"/>
          <w:szCs w:val="21"/>
        </w:rPr>
        <w:t>评标委员会在评审过程中，如果认为某投标人的报价明显低于其他投标人报价的，应当要求该投标人做出书面说明并提供相关证明。投标人不能合理说明或者不能提供相关证明材料的，评标委员会可认定该投标人以低于成本价竞标，否决其投标。</w:t>
      </w:r>
    </w:p>
    <w:p>
      <w:pPr>
        <w:spacing w:line="360" w:lineRule="auto"/>
        <w:ind w:firstLine="420" w:firstLineChars="200"/>
        <w:rPr>
          <w:rFonts w:hint="eastAsia" w:hAnsi="宋体" w:cs="宋体"/>
          <w:szCs w:val="21"/>
        </w:rPr>
      </w:pPr>
      <w:r>
        <w:rPr>
          <w:rFonts w:hint="eastAsia" w:hAnsi="宋体" w:cs="宋体"/>
          <w:szCs w:val="21"/>
        </w:rPr>
        <w:t>3、评标基准价的确定</w:t>
      </w:r>
    </w:p>
    <w:p>
      <w:pPr>
        <w:spacing w:line="360" w:lineRule="auto"/>
        <w:ind w:firstLine="420" w:firstLineChars="200"/>
        <w:rPr>
          <w:rFonts w:hint="eastAsia" w:hAnsi="宋体" w:cs="宋体"/>
          <w:szCs w:val="21"/>
        </w:rPr>
      </w:pPr>
      <w:r>
        <w:rPr>
          <w:rFonts w:hint="eastAsia" w:hAnsi="宋体" w:cs="宋体"/>
          <w:szCs w:val="21"/>
        </w:rPr>
        <w:t>若初审合格投标人≤6家时，单项物资评标基准价取所有初审合格投标人该项物资有效报价的平均值；若初审合格投标人＞6家时，在有效投标价中去掉一个最高值和一个最低值，单项物资评标基准价取剩余初审合格投标人该项物资有效报价的平均值。</w:t>
      </w:r>
    </w:p>
    <w:p>
      <w:pPr>
        <w:spacing w:line="360" w:lineRule="auto"/>
        <w:ind w:firstLine="420" w:firstLineChars="200"/>
        <w:rPr>
          <w:rFonts w:hint="eastAsia" w:hAnsi="宋体" w:cs="宋体"/>
          <w:szCs w:val="21"/>
        </w:rPr>
      </w:pPr>
      <w:r>
        <w:rPr>
          <w:rFonts w:hint="eastAsia" w:hAnsi="宋体" w:cs="宋体"/>
          <w:szCs w:val="21"/>
        </w:rPr>
        <w:t>投标人报价得分</w:t>
      </w:r>
    </w:p>
    <w:p>
      <w:pPr>
        <w:spacing w:line="360" w:lineRule="auto"/>
        <w:ind w:firstLine="420" w:firstLineChars="200"/>
        <w:rPr>
          <w:rFonts w:hint="eastAsia" w:hAnsi="宋体" w:cs="宋体"/>
          <w:szCs w:val="21"/>
        </w:rPr>
      </w:pPr>
      <w:r>
        <w:rPr>
          <w:rFonts w:hint="eastAsia" w:hAnsi="宋体" w:cs="宋体"/>
          <w:szCs w:val="21"/>
        </w:rPr>
        <w:t xml:space="preserve">  投标人报价得分P评=</w:t>
      </w:r>
      <w:r>
        <w:rPr>
          <w:rFonts w:hint="eastAsia" w:hAnsi="宋体" w:cs="宋体"/>
          <w:szCs w:val="21"/>
        </w:rPr>
        <w:object>
          <v:shape id="_x0000_i1025" o:spt="75" type="#_x0000_t75" style="height:33.75pt;width:46.5pt;" o:ole="t" filled="f" o:preferrelative="t" stroked="f" coordsize="21600,21600">
            <v:path/>
            <v:fill on="f" focussize="0,0"/>
            <v:stroke on="f"/>
            <v:imagedata r:id="rId20" o:title=""/>
            <o:lock v:ext="edit" aspectratio="t"/>
            <w10:wrap type="none"/>
            <w10:anchorlock/>
          </v:shape>
          <o:OLEObject Type="Embed" ProgID="Equation.3" ShapeID="_x0000_i1025" DrawAspect="Content" ObjectID="_1468075725" r:id="rId19">
            <o:LockedField>false</o:LockedField>
          </o:OLEObject>
        </w:object>
      </w:r>
    </w:p>
    <w:p>
      <w:pPr>
        <w:spacing w:line="360" w:lineRule="auto"/>
        <w:ind w:firstLine="420" w:firstLineChars="200"/>
        <w:rPr>
          <w:rFonts w:hint="eastAsia" w:hAnsi="宋体" w:cs="宋体"/>
          <w:szCs w:val="21"/>
        </w:rPr>
      </w:pPr>
      <w:r>
        <w:rPr>
          <w:rFonts w:hint="eastAsia" w:hAnsi="宋体" w:cs="宋体"/>
          <w:szCs w:val="21"/>
        </w:rPr>
        <w:t>P评：投标人报价得分</w:t>
      </w:r>
    </w:p>
    <w:p>
      <w:pPr>
        <w:spacing w:line="360" w:lineRule="auto"/>
        <w:ind w:firstLine="420" w:firstLineChars="200"/>
        <w:rPr>
          <w:rFonts w:hint="eastAsia" w:hAnsi="宋体" w:cs="宋体"/>
          <w:szCs w:val="21"/>
        </w:rPr>
      </w:pPr>
      <w:r>
        <w:rPr>
          <w:rFonts w:hint="eastAsia" w:hAnsi="宋体" w:cs="宋体"/>
          <w:szCs w:val="21"/>
        </w:rPr>
        <w:t>pi：投标人单项报价得分</w:t>
      </w:r>
    </w:p>
    <w:p>
      <w:pPr>
        <w:spacing w:line="360" w:lineRule="auto"/>
        <w:ind w:firstLine="420" w:firstLineChars="200"/>
        <w:rPr>
          <w:rFonts w:hint="eastAsia" w:hAnsi="宋体" w:cs="宋体"/>
          <w:szCs w:val="21"/>
        </w:rPr>
      </w:pPr>
      <w:r>
        <w:rPr>
          <w:rFonts w:hint="eastAsia" w:hAnsi="宋体" w:cs="宋体"/>
          <w:szCs w:val="21"/>
        </w:rPr>
        <w:t>ni：投标人单项报价权重比例(权重比例详见附件1)</w:t>
      </w:r>
    </w:p>
    <w:p>
      <w:pPr>
        <w:spacing w:line="360" w:lineRule="auto"/>
        <w:ind w:firstLine="420" w:firstLineChars="200"/>
        <w:rPr>
          <w:rFonts w:hint="eastAsia" w:hAnsi="宋体" w:cs="宋体"/>
          <w:szCs w:val="21"/>
        </w:rPr>
      </w:pPr>
      <w:r>
        <w:rPr>
          <w:rFonts w:hint="eastAsia" w:hAnsi="宋体" w:cs="宋体"/>
          <w:szCs w:val="21"/>
        </w:rPr>
        <w:t>投标人单项物资有效报价得分计算方法：</w:t>
      </w:r>
    </w:p>
    <w:p>
      <w:pPr>
        <w:spacing w:line="360" w:lineRule="auto"/>
        <w:ind w:firstLine="420" w:firstLineChars="200"/>
        <w:rPr>
          <w:rFonts w:hint="eastAsia" w:hAnsi="宋体" w:cs="宋体"/>
          <w:szCs w:val="21"/>
        </w:rPr>
      </w:pPr>
      <w:r>
        <w:rPr>
          <w:rFonts w:hint="eastAsia" w:hAnsi="宋体" w:cs="宋体"/>
          <w:szCs w:val="21"/>
        </w:rPr>
        <w:t>若投标人报价等于评标基准价，则得基准分60分；若投标人报价高于评标基准价且不高于最高投标限价，报价每高于评标基准价1%（四舍五入），则在基准分的基础上减1分；若投标人报价低于评标基准价，报价每低于评标基准价1%（四舍五入），则在基准分的基础上加1分，直到加至满分为止；在报价低于评标基准价7%之后，在基准分基础上每低于1%（四舍五入）减2分。</w:t>
      </w:r>
    </w:p>
    <w:p>
      <w:pPr>
        <w:pStyle w:val="2"/>
        <w:spacing w:line="360" w:lineRule="auto"/>
        <w:rPr>
          <w:rFonts w:hint="eastAsia" w:ascii="宋体" w:hAnsi="宋体" w:cs="宋体"/>
          <w:sz w:val="21"/>
          <w:szCs w:val="21"/>
        </w:rPr>
      </w:pPr>
      <w:bookmarkStart w:id="480" w:name="_Toc22392_WPSOffice_Level1"/>
      <w:r>
        <w:rPr>
          <w:rFonts w:hint="eastAsia" w:ascii="宋体" w:hAnsi="宋体" w:cs="宋体"/>
          <w:sz w:val="21"/>
          <w:szCs w:val="21"/>
        </w:rPr>
        <w:t>三、授标原则</w:t>
      </w:r>
      <w:bookmarkEnd w:id="480"/>
    </w:p>
    <w:p>
      <w:pPr>
        <w:pStyle w:val="2"/>
        <w:spacing w:line="360" w:lineRule="auto"/>
        <w:rPr>
          <w:rFonts w:hint="eastAsia" w:ascii="宋体" w:hAnsi="宋体" w:cs="宋体"/>
          <w:sz w:val="21"/>
          <w:szCs w:val="21"/>
        </w:rPr>
      </w:pPr>
      <w:r>
        <w:rPr>
          <w:rFonts w:hint="eastAsia" w:ascii="宋体" w:hAnsi="宋体" w:cs="宋体"/>
          <w:sz w:val="21"/>
          <w:szCs w:val="21"/>
        </w:rPr>
        <w:t>1、中标人的确定</w:t>
      </w:r>
    </w:p>
    <w:p>
      <w:pPr>
        <w:pStyle w:val="2"/>
        <w:spacing w:line="360" w:lineRule="auto"/>
        <w:rPr>
          <w:rFonts w:hint="eastAsia" w:ascii="宋体" w:hAnsi="宋体" w:cs="宋体"/>
          <w:sz w:val="21"/>
          <w:szCs w:val="21"/>
        </w:rPr>
      </w:pPr>
      <w:r>
        <w:rPr>
          <w:rFonts w:hint="eastAsia" w:ascii="宋体" w:hAnsi="宋体" w:cs="宋体"/>
          <w:sz w:val="21"/>
          <w:szCs w:val="21"/>
        </w:rPr>
        <w:t>（1）按照投标人综合得分由高到低进行排序，以初审合格投标人数量为基数计算中标人数量。如果初审合格投标人为4家以内（含4家），则采取末位淘汰制；如果初审合格投标人为4家以上，则中标人为3家。如果出现投标人综合得分并列的情况，则报价得分高者优先；如果报价得分也相同，则技术得分高者优先。</w:t>
      </w:r>
    </w:p>
    <w:p>
      <w:pPr>
        <w:pStyle w:val="2"/>
        <w:spacing w:line="360" w:lineRule="auto"/>
        <w:rPr>
          <w:rFonts w:hint="eastAsia" w:ascii="宋体" w:hAnsi="宋体" w:cs="宋体"/>
          <w:sz w:val="21"/>
          <w:szCs w:val="21"/>
        </w:rPr>
      </w:pPr>
      <w:r>
        <w:rPr>
          <w:rFonts w:hint="eastAsia" w:ascii="宋体" w:hAnsi="宋体" w:cs="宋体"/>
          <w:sz w:val="21"/>
          <w:szCs w:val="21"/>
        </w:rPr>
        <w:t>（2）中标人中标本包别所有产品。</w:t>
      </w:r>
    </w:p>
    <w:p>
      <w:pPr>
        <w:pStyle w:val="2"/>
        <w:spacing w:line="360" w:lineRule="auto"/>
        <w:rPr>
          <w:rFonts w:hint="eastAsia" w:ascii="宋体" w:hAnsi="宋体" w:cs="宋体"/>
          <w:sz w:val="21"/>
          <w:szCs w:val="21"/>
        </w:rPr>
      </w:pPr>
      <w:r>
        <w:rPr>
          <w:rFonts w:hint="eastAsia" w:ascii="宋体" w:hAnsi="宋体" w:cs="宋体"/>
          <w:sz w:val="21"/>
          <w:szCs w:val="21"/>
        </w:rPr>
        <w:t>（3）原则上，只允许中标人提供目录范围内的产品。对于参加投标的内部非中标制造企业，按照决策程序，经辽河油田公司总经理办公会讨论确定后，可适度采购。</w:t>
      </w:r>
    </w:p>
    <w:p>
      <w:pPr>
        <w:pStyle w:val="2"/>
        <w:spacing w:line="360" w:lineRule="auto"/>
        <w:rPr>
          <w:rFonts w:hint="eastAsia" w:ascii="宋体" w:hAnsi="宋体" w:cs="宋体"/>
          <w:sz w:val="21"/>
          <w:szCs w:val="21"/>
        </w:rPr>
      </w:pPr>
      <w:r>
        <w:rPr>
          <w:rFonts w:hint="eastAsia" w:ascii="宋体" w:hAnsi="宋体" w:cs="宋体"/>
          <w:sz w:val="21"/>
          <w:szCs w:val="21"/>
        </w:rPr>
        <w:t>（4）投标人中标后，必须取得本包产品相应的辽河油田公司物资准入资格，方可供货。</w:t>
      </w:r>
    </w:p>
    <w:p>
      <w:pPr>
        <w:pStyle w:val="2"/>
        <w:spacing w:line="360" w:lineRule="auto"/>
        <w:rPr>
          <w:rFonts w:hint="eastAsia" w:ascii="宋体" w:hAnsi="宋体" w:cs="宋体"/>
          <w:sz w:val="21"/>
          <w:szCs w:val="21"/>
        </w:rPr>
      </w:pPr>
      <w:r>
        <w:rPr>
          <w:rFonts w:hint="eastAsia" w:ascii="宋体" w:hAnsi="宋体" w:cs="宋体"/>
          <w:sz w:val="21"/>
          <w:szCs w:val="21"/>
        </w:rPr>
        <w:t>2、中标价格的确定</w:t>
      </w:r>
    </w:p>
    <w:p>
      <w:pPr>
        <w:pStyle w:val="2"/>
        <w:spacing w:line="360" w:lineRule="auto"/>
        <w:rPr>
          <w:rFonts w:hint="eastAsia" w:ascii="宋体" w:hAnsi="宋体" w:cs="宋体"/>
          <w:sz w:val="21"/>
          <w:szCs w:val="21"/>
        </w:rPr>
      </w:pPr>
      <w:r>
        <w:rPr>
          <w:rFonts w:hint="eastAsia" w:ascii="宋体" w:hAnsi="宋体" w:cs="宋体"/>
          <w:sz w:val="21"/>
          <w:szCs w:val="21"/>
        </w:rPr>
        <w:t>候选中标人的中标价格执行各自报价。</w:t>
      </w:r>
    </w:p>
    <w:p>
      <w:pPr>
        <w:pStyle w:val="2"/>
        <w:spacing w:line="360" w:lineRule="auto"/>
        <w:rPr>
          <w:rFonts w:hint="eastAsia" w:ascii="宋体" w:hAnsi="宋体" w:cs="宋体"/>
          <w:sz w:val="21"/>
          <w:szCs w:val="21"/>
        </w:rPr>
      </w:pPr>
      <w:r>
        <w:rPr>
          <w:rFonts w:hint="eastAsia" w:ascii="宋体" w:hAnsi="宋体" w:cs="宋体"/>
          <w:sz w:val="21"/>
          <w:szCs w:val="21"/>
        </w:rPr>
        <w:t xml:space="preserve"> 3、中标通知书的发放</w:t>
      </w:r>
    </w:p>
    <w:p>
      <w:pPr>
        <w:pStyle w:val="2"/>
        <w:spacing w:line="360" w:lineRule="auto"/>
        <w:rPr>
          <w:rFonts w:hint="eastAsia" w:ascii="宋体" w:hAnsi="宋体" w:cs="宋体"/>
          <w:sz w:val="21"/>
          <w:szCs w:val="21"/>
        </w:rPr>
      </w:pPr>
      <w:r>
        <w:rPr>
          <w:rFonts w:hint="eastAsia" w:ascii="宋体" w:hAnsi="宋体" w:cs="宋体"/>
          <w:sz w:val="21"/>
          <w:szCs w:val="21"/>
        </w:rPr>
        <w:t>招标中心发放的中标通知书，应标明投标人所投产品的相关承诺信息。对于无物料编码招标的包别，中标通知书应按照投标人所投物料描述明细进行发放。自中标通知书发放之日起原则上一个月内，中标人应向辽河油田公司物资管理部进行咨询，完成市场准入相关手续的办理，否则视为自动放弃中标资格，需要进行相关质量体系认证或其他特殊情况可适当延长办理期限。中标人无故不办理市场准入相关手续的将列入不良行为记录名单， 3年内禁止其参加辽河油田公司招标等采购活动。</w:t>
      </w:r>
    </w:p>
    <w:p>
      <w:pPr>
        <w:pStyle w:val="2"/>
        <w:spacing w:line="360" w:lineRule="auto"/>
        <w:rPr>
          <w:rFonts w:hint="eastAsia" w:ascii="宋体" w:hAnsi="宋体" w:cs="宋体"/>
          <w:sz w:val="21"/>
          <w:szCs w:val="21"/>
        </w:rPr>
      </w:pPr>
      <w:r>
        <w:rPr>
          <w:rFonts w:hint="eastAsia" w:ascii="宋体" w:hAnsi="宋体" w:cs="宋体"/>
          <w:sz w:val="21"/>
          <w:szCs w:val="21"/>
        </w:rPr>
        <w:t>4、中标结果有效期及调整机制</w:t>
      </w:r>
    </w:p>
    <w:p>
      <w:pPr>
        <w:pStyle w:val="2"/>
        <w:spacing w:line="360" w:lineRule="auto"/>
        <w:rPr>
          <w:rFonts w:hint="eastAsia" w:ascii="宋体" w:hAnsi="宋体" w:cs="宋体"/>
          <w:sz w:val="21"/>
          <w:szCs w:val="21"/>
        </w:rPr>
      </w:pPr>
      <w:r>
        <w:rPr>
          <w:rFonts w:hint="eastAsia" w:ascii="宋体" w:hAnsi="宋体" w:cs="宋体"/>
          <w:sz w:val="21"/>
          <w:szCs w:val="21"/>
        </w:rPr>
        <w:t>（1）集中采购结果有效期限为2024年6月30日。</w:t>
      </w:r>
    </w:p>
    <w:p>
      <w:pPr>
        <w:pStyle w:val="2"/>
        <w:spacing w:line="360" w:lineRule="auto"/>
        <w:rPr>
          <w:rFonts w:hint="eastAsia" w:ascii="宋体" w:hAnsi="宋体" w:cs="宋体"/>
          <w:sz w:val="21"/>
          <w:szCs w:val="21"/>
        </w:rPr>
      </w:pPr>
      <w:r>
        <w:rPr>
          <w:rFonts w:hint="eastAsia" w:ascii="宋体" w:hAnsi="宋体" w:cs="宋体"/>
          <w:sz w:val="21"/>
          <w:szCs w:val="21"/>
        </w:rPr>
        <w:t>在集中采购结果有效期内，若出现以下情况，可重新组织招标采购：</w:t>
      </w:r>
    </w:p>
    <w:p>
      <w:pPr>
        <w:pStyle w:val="2"/>
        <w:spacing w:line="360" w:lineRule="auto"/>
        <w:rPr>
          <w:rFonts w:hint="eastAsia" w:ascii="宋体" w:hAnsi="宋体" w:cs="宋体"/>
          <w:sz w:val="21"/>
          <w:szCs w:val="21"/>
        </w:rPr>
      </w:pPr>
      <w:r>
        <w:rPr>
          <w:rFonts w:hint="eastAsia" w:ascii="宋体" w:hAnsi="宋体" w:cs="宋体"/>
          <w:sz w:val="21"/>
          <w:szCs w:val="21"/>
        </w:rPr>
        <w:t>A.集团公司、油田公司物资采购政策发生重大变化时；</w:t>
      </w:r>
    </w:p>
    <w:p>
      <w:pPr>
        <w:pStyle w:val="2"/>
        <w:spacing w:line="360" w:lineRule="auto"/>
        <w:rPr>
          <w:rFonts w:hint="eastAsia" w:ascii="宋体" w:hAnsi="宋体" w:cs="宋体"/>
          <w:sz w:val="21"/>
          <w:szCs w:val="21"/>
        </w:rPr>
      </w:pPr>
      <w:r>
        <w:rPr>
          <w:rFonts w:hint="eastAsia" w:ascii="宋体" w:hAnsi="宋体" w:cs="宋体"/>
          <w:sz w:val="21"/>
          <w:szCs w:val="21"/>
        </w:rPr>
        <w:t>B.集中采购物资商、码、价信息发生重大变化时；</w:t>
      </w:r>
    </w:p>
    <w:p>
      <w:pPr>
        <w:pStyle w:val="2"/>
        <w:spacing w:line="360" w:lineRule="auto"/>
        <w:rPr>
          <w:rFonts w:hint="eastAsia" w:ascii="宋体" w:hAnsi="宋体" w:cs="宋体"/>
          <w:sz w:val="21"/>
          <w:szCs w:val="21"/>
        </w:rPr>
      </w:pPr>
      <w:r>
        <w:rPr>
          <w:rFonts w:hint="eastAsia" w:ascii="宋体" w:hAnsi="宋体" w:cs="宋体"/>
          <w:sz w:val="21"/>
          <w:szCs w:val="21"/>
        </w:rPr>
        <w:t>C.数量较大，有必要带量招标时；</w:t>
      </w:r>
    </w:p>
    <w:p>
      <w:pPr>
        <w:pStyle w:val="2"/>
        <w:spacing w:line="360" w:lineRule="auto"/>
        <w:rPr>
          <w:rFonts w:hint="eastAsia" w:ascii="宋体" w:hAnsi="宋体" w:cs="宋体"/>
          <w:sz w:val="21"/>
          <w:szCs w:val="21"/>
        </w:rPr>
      </w:pPr>
      <w:r>
        <w:rPr>
          <w:rFonts w:hint="eastAsia" w:ascii="宋体" w:hAnsi="宋体" w:cs="宋体"/>
          <w:sz w:val="21"/>
          <w:szCs w:val="21"/>
        </w:rPr>
        <w:t>D.本报别中标人均不供货时。</w:t>
      </w:r>
    </w:p>
    <w:p>
      <w:pPr>
        <w:pStyle w:val="2"/>
        <w:spacing w:line="360" w:lineRule="auto"/>
        <w:rPr>
          <w:rFonts w:hint="eastAsia" w:ascii="宋体" w:hAnsi="宋体" w:cs="宋体"/>
          <w:sz w:val="21"/>
          <w:szCs w:val="21"/>
        </w:rPr>
      </w:pPr>
      <w:r>
        <w:rPr>
          <w:rFonts w:hint="eastAsia" w:ascii="宋体" w:hAnsi="宋体" w:cs="宋体"/>
          <w:sz w:val="21"/>
          <w:szCs w:val="21"/>
        </w:rPr>
        <w:t>依据下轮次集中采购招标工作的进展情况与需要，本轮次集中采购结果有效期也可适时延长。</w:t>
      </w:r>
    </w:p>
    <w:p>
      <w:pPr>
        <w:pStyle w:val="2"/>
        <w:spacing w:line="360" w:lineRule="auto"/>
        <w:rPr>
          <w:rFonts w:hint="eastAsia" w:ascii="宋体" w:hAnsi="宋体" w:cs="宋体"/>
          <w:sz w:val="21"/>
          <w:szCs w:val="21"/>
        </w:rPr>
      </w:pPr>
      <w:r>
        <w:rPr>
          <w:rFonts w:hint="eastAsia" w:ascii="宋体" w:hAnsi="宋体" w:cs="宋体"/>
          <w:sz w:val="21"/>
          <w:szCs w:val="21"/>
        </w:rPr>
        <w:t>（2）实行动态管理价格机制，若原材料成本（或其它因素）变化对产品价格的影响超过±10%且持续时间达30日，则对集中采购价格在各自价格的基础上适时进行合理调整。若市场价格在短期内持续变化且幅度较大，可适时按照当日调研市场价格对集中采购价格在各自价格的基础上进行合理调整。</w:t>
      </w: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outlineLvl w:val="1"/>
        <w:rPr>
          <w:rFonts w:hint="eastAsia"/>
        </w:rPr>
      </w:pPr>
    </w:p>
    <w:p>
      <w:pPr>
        <w:pStyle w:val="127"/>
        <w:outlineLvl w:val="1"/>
        <w:rPr>
          <w:rFonts w:hint="eastAsia"/>
          <w:sz w:val="24"/>
          <w:szCs w:val="24"/>
        </w:rPr>
      </w:pPr>
      <w:bookmarkStart w:id="481" w:name="_Toc4032"/>
      <w:r>
        <w:rPr>
          <w:rFonts w:hint="eastAsia"/>
          <w:sz w:val="24"/>
          <w:szCs w:val="24"/>
        </w:rPr>
        <w:t>附件1-2 商务关键条款</w:t>
      </w:r>
      <w:bookmarkEnd w:id="481"/>
    </w:p>
    <w:p>
      <w:pPr>
        <w:pStyle w:val="61"/>
        <w:rPr>
          <w:rFonts w:hint="eastAsia"/>
        </w:rPr>
      </w:pPr>
      <w:r>
        <w:rPr>
          <w:rFonts w:hint="eastAsia"/>
        </w:rPr>
        <w:t>*1.</w:t>
      </w:r>
      <w:r>
        <w:rPr>
          <w:rFonts w:hint="eastAsia"/>
        </w:rPr>
        <w:tab/>
      </w:r>
      <w:r>
        <w:rPr>
          <w:rFonts w:hint="eastAsia"/>
        </w:rPr>
        <w:t>法定代表人身份证明或法定代表人授权委托书：投标文件中未提供有效法定代表人身份证明或法定代表人授权委托书的将被视作非响应性而予以拒绝。</w:t>
      </w:r>
    </w:p>
    <w:p>
      <w:pPr>
        <w:pStyle w:val="61"/>
        <w:rPr>
          <w:rFonts w:hint="eastAsia"/>
        </w:rPr>
      </w:pPr>
      <w:r>
        <w:rPr>
          <w:rFonts w:hint="eastAsia"/>
        </w:rPr>
        <w:t>*2.</w:t>
      </w:r>
      <w:r>
        <w:rPr>
          <w:rFonts w:hint="eastAsia"/>
        </w:rPr>
        <w:tab/>
      </w:r>
      <w:r>
        <w:rPr>
          <w:rFonts w:hint="eastAsia"/>
        </w:rPr>
        <w:t>投标文件签署：投标文件未经投标单位盖章和单位负责人签字的。</w:t>
      </w:r>
    </w:p>
    <w:p>
      <w:pPr>
        <w:pStyle w:val="61"/>
        <w:rPr>
          <w:rFonts w:hint="eastAsia"/>
        </w:rPr>
      </w:pPr>
      <w:r>
        <w:rPr>
          <w:rFonts w:hint="eastAsia"/>
        </w:rPr>
        <w:t>*3.</w:t>
      </w:r>
      <w:r>
        <w:rPr>
          <w:rFonts w:hint="eastAsia"/>
        </w:rPr>
        <w:tab/>
      </w:r>
      <w:r>
        <w:rPr>
          <w:rFonts w:hint="eastAsia"/>
        </w:rPr>
        <w:t>投标人资格：投标人未满足招标文件资格要求的投标将予以拒绝。</w:t>
      </w:r>
    </w:p>
    <w:p>
      <w:pPr>
        <w:pStyle w:val="61"/>
        <w:rPr>
          <w:rFonts w:hint="eastAsia"/>
        </w:rPr>
      </w:pPr>
      <w:r>
        <w:rPr>
          <w:rFonts w:hint="eastAsia"/>
        </w:rPr>
        <w:t>*</w:t>
      </w:r>
      <w:r>
        <w:rPr>
          <w:lang w:val="en-GB"/>
        </w:rPr>
        <w:t>4</w:t>
      </w:r>
      <w:r>
        <w:rPr>
          <w:rFonts w:hint="eastAsia"/>
        </w:rPr>
        <w:t>.</w:t>
      </w:r>
      <w:r>
        <w:rPr>
          <w:rFonts w:hint="eastAsia"/>
        </w:rPr>
        <w:tab/>
      </w:r>
      <w:r>
        <w:rPr>
          <w:rFonts w:hint="eastAsia"/>
        </w:rPr>
        <w:t>投标书：未提交投标书，或未按投标书格式要求响应的，将视为非响应性投标而予以拒绝。</w:t>
      </w:r>
    </w:p>
    <w:p>
      <w:pPr>
        <w:pStyle w:val="61"/>
        <w:rPr>
          <w:rFonts w:hint="eastAsia"/>
        </w:rPr>
      </w:pPr>
      <w:r>
        <w:rPr>
          <w:rFonts w:hint="eastAsia"/>
        </w:rPr>
        <w:t>*5.</w:t>
      </w:r>
      <w:r>
        <w:rPr>
          <w:rFonts w:hint="eastAsia"/>
        </w:rPr>
        <w:tab/>
      </w:r>
      <w:r>
        <w:rPr>
          <w:rFonts w:hint="eastAsia"/>
        </w:rPr>
        <w:t>投标有效期：有效期短于投标人须知规定天数的投标将被视作非响应性而予以拒绝。</w:t>
      </w:r>
    </w:p>
    <w:p>
      <w:pPr>
        <w:pStyle w:val="61"/>
        <w:rPr>
          <w:rFonts w:hint="eastAsia"/>
        </w:rPr>
      </w:pPr>
      <w:r>
        <w:rPr>
          <w:rFonts w:hint="eastAsia"/>
        </w:rPr>
        <w:t>*6</w:t>
      </w:r>
      <w:r>
        <w:rPr>
          <w:rFonts w:hint="eastAsia"/>
        </w:rPr>
        <w:tab/>
      </w:r>
      <w:r>
        <w:rPr>
          <w:rFonts w:hint="eastAsia"/>
        </w:rPr>
        <w:t>投标保证金：没有按照招标文件的规定递交投标保证金的，投标将予以拒绝。</w:t>
      </w:r>
    </w:p>
    <w:p>
      <w:pPr>
        <w:pStyle w:val="61"/>
        <w:rPr>
          <w:lang w:val="en-GB"/>
        </w:rPr>
      </w:pPr>
      <w:r>
        <w:rPr>
          <w:rFonts w:hint="eastAsia"/>
        </w:rPr>
        <w:t>*7  交货期或交货地点不满足招标文件要求的否决其投标。</w:t>
      </w:r>
    </w:p>
    <w:p>
      <w:pPr>
        <w:pStyle w:val="61"/>
        <w:rPr>
          <w:rFonts w:hint="eastAsia"/>
        </w:rPr>
      </w:pPr>
      <w:r>
        <w:rPr>
          <w:rFonts w:hint="eastAsia"/>
        </w:rPr>
        <w:t>*8.</w:t>
      </w:r>
      <w:r>
        <w:rPr>
          <w:rFonts w:hint="eastAsia"/>
        </w:rPr>
        <w:tab/>
      </w:r>
      <w:r>
        <w:rPr>
          <w:rFonts w:hint="eastAsia"/>
        </w:rPr>
        <w:t>投标报价：不接受具有附加条件的报价。</w:t>
      </w:r>
    </w:p>
    <w:p>
      <w:pPr>
        <w:pStyle w:val="61"/>
        <w:rPr>
          <w:rFonts w:hint="eastAsia"/>
        </w:rPr>
      </w:pPr>
      <w:r>
        <w:rPr>
          <w:rFonts w:hint="eastAsia"/>
        </w:rPr>
        <w:t>*9.</w:t>
      </w:r>
      <w:r>
        <w:rPr>
          <w:rFonts w:hint="eastAsia"/>
        </w:rPr>
        <w:tab/>
      </w:r>
      <w:r>
        <w:rPr>
          <w:rFonts w:hint="eastAsia"/>
        </w:rPr>
        <w:t>仲裁、适用法律和税则：未满足招标文件规定的，其投标将被拒绝。</w:t>
      </w:r>
    </w:p>
    <w:p>
      <w:pPr>
        <w:pStyle w:val="61"/>
        <w:rPr>
          <w:rFonts w:hint="eastAsia"/>
        </w:rPr>
      </w:pPr>
      <w:r>
        <w:rPr>
          <w:rFonts w:hint="eastAsia"/>
        </w:rPr>
        <w:t>*10</w:t>
      </w:r>
      <w:r>
        <w:rPr>
          <w:rFonts w:hint="eastAsia"/>
        </w:rPr>
        <w:tab/>
      </w:r>
      <w:r>
        <w:rPr>
          <w:rFonts w:hint="eastAsia"/>
        </w:rPr>
        <w:t>法律、法规：投标人有串通投标、弄虚作假等违法行为，不予返还其投标保证金，投标将被拒绝。</w:t>
      </w:r>
    </w:p>
    <w:p>
      <w:pPr>
        <w:pStyle w:val="61"/>
        <w:rPr>
          <w:rFonts w:hint="eastAsia" w:ascii="宋体" w:hAnsi="宋体"/>
        </w:rPr>
      </w:pPr>
      <w:r>
        <w:rPr>
          <w:rFonts w:ascii="宋体" w:hAnsi="宋体"/>
        </w:rPr>
        <w:t>*1</w:t>
      </w:r>
      <w:r>
        <w:rPr>
          <w:rFonts w:hint="eastAsia" w:ascii="宋体" w:hAnsi="宋体"/>
        </w:rPr>
        <w:t>1</w:t>
      </w:r>
      <w:r>
        <w:rPr>
          <w:rFonts w:ascii="宋体" w:hAnsi="宋体"/>
        </w:rPr>
        <w:tab/>
      </w:r>
      <w:r>
        <w:rPr>
          <w:rFonts w:hint="eastAsia" w:ascii="宋体" w:hAnsi="宋体"/>
        </w:rPr>
        <w:t>其它</w:t>
      </w:r>
    </w:p>
    <w:p>
      <w:pPr>
        <w:pStyle w:val="61"/>
        <w:rPr>
          <w:rFonts w:hint="eastAsia" w:ascii="宋体" w:hAnsi="宋体"/>
        </w:rPr>
      </w:pPr>
      <w:r>
        <w:t>1</w:t>
      </w:r>
      <w:r>
        <w:rPr>
          <w:rFonts w:hint="eastAsia"/>
        </w:rPr>
        <w:t>1</w:t>
      </w:r>
      <w:r>
        <w:t>.1</w:t>
      </w:r>
      <w:r>
        <w:rPr>
          <w:rFonts w:hint="eastAsia" w:ascii="宋体" w:hAnsi="宋体"/>
        </w:rPr>
        <w:t>投标人应认真阅读招标文件中所有的事项、格式、条款和技术规格等。投标人没有按照招标文件要求提交资料，或者投标没有对招标文件做出实质性响应是投标人的风险，并可能导致其投标被拒绝。</w:t>
      </w:r>
    </w:p>
    <w:p>
      <w:pPr>
        <w:pStyle w:val="61"/>
        <w:rPr>
          <w:rFonts w:hint="eastAsia" w:ascii="宋体"/>
          <w:szCs w:val="20"/>
        </w:rPr>
      </w:pPr>
      <w:r>
        <w:rPr>
          <w:rFonts w:ascii="宋体"/>
          <w:szCs w:val="20"/>
        </w:rPr>
        <w:t>1</w:t>
      </w:r>
      <w:r>
        <w:rPr>
          <w:rFonts w:hint="eastAsia" w:ascii="宋体"/>
          <w:szCs w:val="20"/>
        </w:rPr>
        <w:t>1</w:t>
      </w:r>
      <w:r>
        <w:rPr>
          <w:rFonts w:ascii="宋体"/>
          <w:szCs w:val="20"/>
        </w:rPr>
        <w:t>.2</w:t>
      </w:r>
      <w:r>
        <w:rPr>
          <w:rFonts w:hint="eastAsia" w:ascii="宋体"/>
          <w:szCs w:val="20"/>
        </w:rPr>
        <w:t>否决投标情形</w:t>
      </w:r>
    </w:p>
    <w:p>
      <w:pPr>
        <w:pStyle w:val="61"/>
        <w:rPr>
          <w:rFonts w:ascii="宋体"/>
          <w:szCs w:val="20"/>
        </w:rPr>
      </w:pPr>
      <w:r>
        <w:rPr>
          <w:rFonts w:hint="eastAsia" w:ascii="宋体"/>
          <w:szCs w:val="20"/>
        </w:rPr>
        <w:t>招投标过程中的废标情形应严格按照《中华人民共和国招标投标法》和《中华人民共和国招标投标法实施条例》的相关规定执行，但下列条款应予以重点注意：</w:t>
      </w:r>
    </w:p>
    <w:p>
      <w:pPr>
        <w:pStyle w:val="61"/>
        <w:rPr>
          <w:rFonts w:hint="eastAsia" w:ascii="宋体"/>
          <w:szCs w:val="20"/>
        </w:rPr>
      </w:pPr>
      <w:r>
        <w:rPr>
          <w:rFonts w:hint="eastAsia" w:ascii="宋体"/>
          <w:szCs w:val="20"/>
        </w:rPr>
        <w:t>11.2.1 投标人之间协商投标报价等投标文件的实质性内容。</w:t>
      </w:r>
    </w:p>
    <w:p>
      <w:pPr>
        <w:pStyle w:val="61"/>
        <w:rPr>
          <w:rFonts w:hint="eastAsia" w:ascii="宋体"/>
          <w:szCs w:val="20"/>
        </w:rPr>
      </w:pPr>
      <w:r>
        <w:rPr>
          <w:rFonts w:hint="eastAsia" w:ascii="宋体"/>
          <w:szCs w:val="20"/>
        </w:rPr>
        <w:t>11.2.2 投标人之间约定部分投标人放弃投标或者中标。</w:t>
      </w:r>
    </w:p>
    <w:p>
      <w:pPr>
        <w:pStyle w:val="61"/>
        <w:rPr>
          <w:rFonts w:hint="eastAsia" w:ascii="宋体"/>
          <w:szCs w:val="20"/>
        </w:rPr>
      </w:pPr>
      <w:r>
        <w:rPr>
          <w:rFonts w:hint="eastAsia" w:ascii="宋体"/>
          <w:szCs w:val="20"/>
        </w:rPr>
        <w:t>11.2.3 不同投标人的投标文件异常一致、投标报价呈规律性差异或者出现两家（含两家）以上投标人各项报价完全一致（含最高限价）。</w:t>
      </w:r>
    </w:p>
    <w:p>
      <w:pPr>
        <w:pStyle w:val="61"/>
        <w:rPr>
          <w:rFonts w:hint="eastAsia" w:ascii="宋体"/>
          <w:szCs w:val="20"/>
        </w:rPr>
      </w:pPr>
      <w:r>
        <w:rPr>
          <w:rFonts w:hint="eastAsia" w:ascii="宋体"/>
          <w:szCs w:val="20"/>
        </w:rPr>
        <w:t>11.2.4 不同投标人的投标保证金从同一单位或者个人的账户转出。</w:t>
      </w:r>
    </w:p>
    <w:p>
      <w:pPr>
        <w:pStyle w:val="61"/>
        <w:rPr>
          <w:rFonts w:hint="eastAsia" w:ascii="宋体"/>
          <w:szCs w:val="20"/>
        </w:rPr>
      </w:pPr>
      <w:r>
        <w:rPr>
          <w:rFonts w:hint="eastAsia" w:ascii="宋体"/>
          <w:szCs w:val="20"/>
        </w:rPr>
        <w:t>11.2.5 投标文件没有对招标文件的要求和条件（特别是技术和质量要求）作出实质性响应。</w:t>
      </w:r>
    </w:p>
    <w:p>
      <w:pPr>
        <w:pStyle w:val="61"/>
        <w:rPr>
          <w:rFonts w:hint="eastAsia" w:ascii="宋体"/>
          <w:szCs w:val="20"/>
        </w:rPr>
      </w:pPr>
      <w:r>
        <w:rPr>
          <w:rFonts w:hint="eastAsia" w:ascii="宋体"/>
          <w:szCs w:val="20"/>
        </w:rPr>
        <w:t>11.2.6 投标人的单位负责人为同一人或者存在控股、管理关系的不同单位，不得同时参加投标。</w:t>
      </w:r>
    </w:p>
    <w:p>
      <w:pPr>
        <w:pStyle w:val="61"/>
        <w:rPr>
          <w:rFonts w:hint="eastAsia" w:ascii="宋体"/>
          <w:b/>
          <w:bCs/>
          <w:szCs w:val="20"/>
        </w:rPr>
      </w:pPr>
      <w:r>
        <w:rPr>
          <w:rFonts w:hint="eastAsia" w:ascii="宋体"/>
          <w:szCs w:val="20"/>
        </w:rPr>
        <w:t>11.2.7投标人要保证投标文件中提供的各项资质、质量、业绩等证明文件的真实性，在投标现场准备原件备查。</w:t>
      </w:r>
      <w:r>
        <w:rPr>
          <w:rFonts w:hint="eastAsia" w:ascii="宋体"/>
          <w:b/>
          <w:bCs/>
          <w:szCs w:val="20"/>
        </w:rPr>
        <w:t>评标委员会将通过电话咨询、网站查询、现场考察等方式核查投标文件中提供资料的真实性，一旦查实投标人弄虚作假，将否决其投标或取消其中标资格。</w:t>
      </w:r>
    </w:p>
    <w:p>
      <w:pPr>
        <w:pStyle w:val="61"/>
        <w:rPr>
          <w:rFonts w:hint="eastAsia" w:ascii="宋体"/>
          <w:szCs w:val="20"/>
        </w:rPr>
      </w:pPr>
      <w:r>
        <w:rPr>
          <w:rFonts w:hint="eastAsia" w:ascii="宋体"/>
          <w:szCs w:val="20"/>
        </w:rPr>
        <w:t>11.2.8投标人需对《合规承诺书》（详见附件4）作出承诺，如投标人未提供或提供与要求不一致的《合规承诺书》，将做废标处理。</w:t>
      </w:r>
    </w:p>
    <w:p>
      <w:pPr>
        <w:pStyle w:val="61"/>
        <w:rPr>
          <w:rFonts w:hint="eastAsia" w:ascii="宋体" w:hAnsi="宋体"/>
        </w:rPr>
      </w:pPr>
      <w:r>
        <w:rPr>
          <w:rFonts w:hint="eastAsia" w:ascii="宋体"/>
          <w:szCs w:val="20"/>
        </w:rPr>
        <w:t>11.2.9 国家法律法规和本招标文件规定的其它构成否决投标的条款。</w:t>
      </w:r>
    </w:p>
    <w:p>
      <w:pPr>
        <w:pStyle w:val="127"/>
        <w:outlineLvl w:val="1"/>
        <w:rPr>
          <w:rFonts w:hint="eastAsia"/>
          <w:sz w:val="24"/>
          <w:szCs w:val="24"/>
        </w:rPr>
      </w:pPr>
      <w:bookmarkStart w:id="482" w:name="_Toc363134259"/>
      <w:bookmarkStart w:id="483" w:name="_Toc363128961"/>
      <w:bookmarkStart w:id="484" w:name="_Toc410479116"/>
      <w:bookmarkStart w:id="485" w:name="_Toc28723"/>
      <w:bookmarkStart w:id="486" w:name="_Toc363059671"/>
      <w:bookmarkStart w:id="487" w:name="_Toc363127821"/>
      <w:bookmarkStart w:id="488" w:name="_Toc363125367"/>
      <w:bookmarkStart w:id="489" w:name="_Toc363454560"/>
      <w:r>
        <w:rPr>
          <w:rFonts w:hint="eastAsia"/>
          <w:sz w:val="24"/>
          <w:szCs w:val="24"/>
        </w:rPr>
        <w:t>附件</w:t>
      </w:r>
      <w:r>
        <w:rPr>
          <w:sz w:val="24"/>
          <w:szCs w:val="24"/>
        </w:rPr>
        <w:t>1-</w:t>
      </w:r>
      <w:r>
        <w:rPr>
          <w:rFonts w:hint="eastAsia"/>
          <w:sz w:val="24"/>
          <w:szCs w:val="24"/>
        </w:rPr>
        <w:t>3：技术关键条款</w:t>
      </w:r>
      <w:bookmarkEnd w:id="482"/>
      <w:bookmarkEnd w:id="483"/>
      <w:bookmarkEnd w:id="484"/>
      <w:bookmarkEnd w:id="485"/>
      <w:bookmarkEnd w:id="486"/>
      <w:bookmarkEnd w:id="487"/>
      <w:bookmarkEnd w:id="488"/>
      <w:bookmarkEnd w:id="489"/>
    </w:p>
    <w:p>
      <w:pPr>
        <w:spacing w:line="360" w:lineRule="auto"/>
        <w:ind w:firstLine="630" w:firstLineChars="300"/>
        <w:rPr>
          <w:rFonts w:hAnsi="宋体"/>
          <w:szCs w:val="21"/>
        </w:rPr>
      </w:pPr>
      <w:r>
        <w:rPr>
          <w:rFonts w:hint="eastAsia"/>
        </w:rPr>
        <w:t>*1.</w:t>
      </w:r>
      <w:r>
        <w:rPr>
          <w:rFonts w:hint="eastAsia" w:hAnsi="宋体"/>
          <w:szCs w:val="21"/>
        </w:rPr>
        <w:t xml:space="preserve"> 投标产品执行标准或技术响应文件不满足招标文件中规定的技术要求的投标人将视为非响应性投标而予以拒绝。</w:t>
      </w:r>
    </w:p>
    <w:p>
      <w:pPr>
        <w:spacing w:line="360" w:lineRule="auto"/>
        <w:ind w:firstLine="630" w:firstLineChars="300"/>
        <w:rPr>
          <w:rFonts w:hint="eastAsia"/>
          <w:szCs w:val="21"/>
        </w:rPr>
      </w:pPr>
      <w:r>
        <w:rPr>
          <w:rFonts w:hint="eastAsia"/>
        </w:rPr>
        <w:t>*2.</w:t>
      </w:r>
      <w:r>
        <w:rPr>
          <w:rFonts w:hint="eastAsia"/>
          <w:szCs w:val="21"/>
        </w:rPr>
        <w:t>技术条款响应/偏离表</w:t>
      </w:r>
    </w:p>
    <w:p>
      <w:pPr>
        <w:spacing w:line="360" w:lineRule="auto"/>
        <w:ind w:left="143" w:leftChars="68" w:firstLine="420" w:firstLineChars="200"/>
        <w:rPr>
          <w:rFonts w:hint="eastAsia" w:hAnsi="宋体"/>
          <w:szCs w:val="21"/>
        </w:rPr>
      </w:pPr>
      <w:r>
        <w:rPr>
          <w:rFonts w:hint="eastAsia"/>
          <w:szCs w:val="21"/>
        </w:rPr>
        <w:t>未提交技</w:t>
      </w:r>
      <w:r>
        <w:rPr>
          <w:rFonts w:hint="eastAsia" w:hAnsi="宋体"/>
          <w:szCs w:val="21"/>
        </w:rPr>
        <w:t>术条款响应/偏离表，或未按投标书格式要求响应的，将视为非响应性投标而予以拒绝。</w:t>
      </w:r>
    </w:p>
    <w:p>
      <w:pPr>
        <w:pStyle w:val="127"/>
        <w:outlineLvl w:val="1"/>
        <w:rPr>
          <w:rFonts w:hint="eastAsia"/>
          <w:sz w:val="24"/>
          <w:szCs w:val="24"/>
        </w:rPr>
      </w:pPr>
      <w:bookmarkStart w:id="490" w:name="_Toc25679"/>
      <w:r>
        <w:rPr>
          <w:rFonts w:hint="eastAsia"/>
          <w:sz w:val="24"/>
          <w:szCs w:val="24"/>
        </w:rPr>
        <w:t>附件</w:t>
      </w:r>
      <w:r>
        <w:rPr>
          <w:sz w:val="24"/>
          <w:szCs w:val="24"/>
        </w:rPr>
        <w:t>1-</w:t>
      </w:r>
      <w:r>
        <w:rPr>
          <w:rFonts w:hint="eastAsia"/>
          <w:sz w:val="24"/>
          <w:szCs w:val="24"/>
        </w:rPr>
        <w:t>4：其他条款</w:t>
      </w:r>
      <w:bookmarkEnd w:id="490"/>
    </w:p>
    <w:p>
      <w:pPr>
        <w:spacing w:line="360" w:lineRule="auto"/>
        <w:ind w:firstLine="420" w:firstLineChars="200"/>
        <w:rPr>
          <w:rFonts w:hint="eastAsia" w:hAnsi="宋体"/>
          <w:szCs w:val="21"/>
        </w:rPr>
      </w:pPr>
      <w:r>
        <w:rPr>
          <w:rFonts w:hint="eastAsia" w:hAnsi="宋体"/>
          <w:szCs w:val="21"/>
        </w:rPr>
        <w:t>一、QHSE管理要求</w:t>
      </w:r>
    </w:p>
    <w:p>
      <w:pPr>
        <w:pStyle w:val="61"/>
        <w:rPr>
          <w:rFonts w:hint="eastAsia" w:ascii="宋体" w:hAnsi="宋体"/>
        </w:rPr>
      </w:pPr>
      <w:r>
        <w:rPr>
          <w:rFonts w:hint="eastAsia" w:ascii="宋体" w:hAnsi="宋体"/>
        </w:rPr>
        <w:t>1、中标人所提供产品及包装物，在产品质量、环境保护、人身健康方面必须达到国家相关标准和要求，因中标人所供产品及包装物原因而引发的产品质量、环境保护、人身健康等方面的事故或损害，由中标人承担全部责任。</w:t>
      </w:r>
    </w:p>
    <w:p>
      <w:pPr>
        <w:pStyle w:val="61"/>
        <w:rPr>
          <w:rFonts w:hint="eastAsia" w:ascii="宋体" w:hAnsi="宋体"/>
        </w:rPr>
      </w:pPr>
      <w:r>
        <w:rPr>
          <w:rFonts w:hint="eastAsia" w:ascii="宋体" w:hAnsi="宋体"/>
        </w:rPr>
        <w:t>2、中标人需遵守属地单位QHSE管理要求，服从属地单位指挥。</w:t>
      </w:r>
    </w:p>
    <w:p>
      <w:pPr>
        <w:pStyle w:val="61"/>
        <w:rPr>
          <w:rFonts w:hint="eastAsia" w:ascii="宋体" w:hAnsi="宋体"/>
        </w:rPr>
      </w:pPr>
      <w:r>
        <w:rPr>
          <w:rFonts w:hint="eastAsia" w:ascii="宋体" w:hAnsi="宋体"/>
        </w:rPr>
        <w:t>二、处罚情形</w:t>
      </w:r>
    </w:p>
    <w:p>
      <w:pPr>
        <w:spacing w:line="360" w:lineRule="auto"/>
        <w:ind w:firstLine="420" w:firstLineChars="200"/>
        <w:rPr>
          <w:rFonts w:hint="eastAsia" w:hAnsi="宋体"/>
          <w:szCs w:val="21"/>
        </w:rPr>
      </w:pPr>
      <w:r>
        <w:rPr>
          <w:rFonts w:hint="eastAsia" w:hAnsi="宋体"/>
        </w:rPr>
        <w:t>招投标过程及中标后供</w:t>
      </w:r>
      <w:r>
        <w:rPr>
          <w:rFonts w:hint="eastAsia" w:hAnsi="宋体"/>
          <w:szCs w:val="21"/>
        </w:rPr>
        <w:t>货过程中的供应商违规行为处罚严格按照相关规定执行，但下列条款应予以重点注意：</w:t>
      </w:r>
    </w:p>
    <w:p>
      <w:pPr>
        <w:spacing w:line="360" w:lineRule="auto"/>
        <w:ind w:firstLine="420" w:firstLineChars="200"/>
        <w:rPr>
          <w:rFonts w:hint="eastAsia" w:hAnsi="宋体"/>
          <w:szCs w:val="21"/>
        </w:rPr>
      </w:pPr>
      <w:r>
        <w:rPr>
          <w:rFonts w:hint="eastAsia" w:hAnsi="宋体"/>
          <w:szCs w:val="21"/>
        </w:rPr>
        <w:t>1、为配合其他供应商中标，投标文件中明显漏报、少报或不报有得分项的资质资料的；</w:t>
      </w:r>
    </w:p>
    <w:p>
      <w:pPr>
        <w:spacing w:line="360" w:lineRule="auto"/>
        <w:ind w:firstLine="420" w:firstLineChars="200"/>
        <w:rPr>
          <w:rFonts w:hint="eastAsia" w:hAnsi="宋体"/>
          <w:szCs w:val="21"/>
        </w:rPr>
      </w:pPr>
      <w:r>
        <w:rPr>
          <w:rFonts w:hint="eastAsia" w:hAnsi="宋体"/>
          <w:szCs w:val="21"/>
        </w:rPr>
        <w:t>2、无正当理由不及时签订合同；</w:t>
      </w:r>
    </w:p>
    <w:p>
      <w:pPr>
        <w:spacing w:line="360" w:lineRule="auto"/>
        <w:ind w:firstLine="420" w:firstLineChars="200"/>
        <w:rPr>
          <w:rFonts w:hint="eastAsia" w:hAnsi="宋体"/>
          <w:szCs w:val="21"/>
        </w:rPr>
      </w:pPr>
      <w:r>
        <w:rPr>
          <w:rFonts w:hint="eastAsia" w:hAnsi="宋体"/>
          <w:szCs w:val="21"/>
        </w:rPr>
        <w:t>3、无正当理由延期供货；</w:t>
      </w:r>
    </w:p>
    <w:p>
      <w:pPr>
        <w:spacing w:line="360" w:lineRule="auto"/>
        <w:ind w:firstLine="420" w:firstLineChars="200"/>
        <w:rPr>
          <w:rFonts w:hint="eastAsia" w:hAnsi="宋体"/>
          <w:szCs w:val="21"/>
        </w:rPr>
      </w:pPr>
      <w:r>
        <w:rPr>
          <w:rFonts w:hint="eastAsia" w:hAnsi="宋体"/>
          <w:szCs w:val="21"/>
        </w:rPr>
        <w:t>4、中标后无正当理由不向用户供货或不遵守投标文件相应条款；</w:t>
      </w:r>
    </w:p>
    <w:p>
      <w:pPr>
        <w:spacing w:line="360" w:lineRule="auto"/>
        <w:ind w:firstLine="420" w:firstLineChars="200"/>
        <w:rPr>
          <w:rFonts w:hint="eastAsia" w:hAnsi="宋体"/>
          <w:szCs w:val="21"/>
        </w:rPr>
      </w:pPr>
      <w:r>
        <w:rPr>
          <w:rFonts w:hint="eastAsia" w:hAnsi="宋体"/>
          <w:szCs w:val="21"/>
        </w:rPr>
        <w:t>5、不按投标文件质量要求供货、向用户提供假冒伪劣产品或产品存在重大质量问题，造成重大质量事故和财产损失的，除扣除质量保证金和赔偿损失外，还要开除出辽河油田物资市场。同时，相关科室要对供货过程进行质量检查及监督，对使用过程进行质量跟踪；</w:t>
      </w:r>
    </w:p>
    <w:p>
      <w:pPr>
        <w:spacing w:line="360" w:lineRule="auto"/>
        <w:ind w:firstLine="420" w:firstLineChars="200"/>
        <w:rPr>
          <w:rFonts w:hint="eastAsia" w:hAnsi="宋体"/>
          <w:szCs w:val="21"/>
        </w:rPr>
      </w:pPr>
      <w:r>
        <w:rPr>
          <w:rFonts w:hint="eastAsia" w:hAnsi="宋体"/>
          <w:szCs w:val="21"/>
        </w:rPr>
        <w:t>6、到货物资使用过程中非人为原因出现质量问题，影响正常生产；</w:t>
      </w:r>
    </w:p>
    <w:p>
      <w:pPr>
        <w:pStyle w:val="61"/>
        <w:rPr>
          <w:rFonts w:hint="eastAsia" w:ascii="宋体" w:hAnsi="宋体"/>
        </w:rPr>
      </w:pPr>
      <w:r>
        <w:rPr>
          <w:rFonts w:hint="eastAsia" w:ascii="宋体" w:hAnsi="宋体"/>
        </w:rPr>
        <w:t>7、质量保证、售后服务未达到招标文件或合同要求。</w:t>
      </w:r>
    </w:p>
    <w:p>
      <w:pPr>
        <w:pStyle w:val="61"/>
        <w:rPr>
          <w:rFonts w:hint="eastAsia" w:ascii="宋体" w:hAnsi="宋体"/>
        </w:rPr>
      </w:pPr>
      <w:r>
        <w:rPr>
          <w:rFonts w:hint="eastAsia" w:ascii="宋体" w:hAnsi="宋体"/>
        </w:rPr>
        <w:t>三、其他处罚情形</w:t>
      </w:r>
    </w:p>
    <w:p>
      <w:pPr>
        <w:spacing w:line="360" w:lineRule="auto"/>
        <w:ind w:firstLine="420" w:firstLineChars="200"/>
        <w:rPr>
          <w:rFonts w:hint="eastAsia" w:hAnsi="宋体"/>
          <w:szCs w:val="21"/>
        </w:rPr>
      </w:pPr>
      <w:bookmarkStart w:id="491" w:name="_Toc363128963"/>
      <w:bookmarkStart w:id="492" w:name="_Toc363454562"/>
      <w:bookmarkStart w:id="493" w:name="_Toc363125369"/>
      <w:bookmarkStart w:id="494" w:name="_Toc363134261"/>
      <w:bookmarkStart w:id="495" w:name="_Toc363059673"/>
      <w:bookmarkStart w:id="496" w:name="_Toc363127823"/>
      <w:r>
        <w:rPr>
          <w:rFonts w:hint="eastAsia" w:hAnsi="宋体"/>
          <w:szCs w:val="21"/>
        </w:rPr>
        <w:t>中标人质量管理体系应该有效运行，确保所供产品质量合格。招标结果有效期内，中标人若发生三次送货检验不合格，取消其中标资格。</w:t>
      </w:r>
    </w:p>
    <w:p>
      <w:pPr>
        <w:spacing w:line="360" w:lineRule="auto"/>
        <w:ind w:firstLine="420" w:firstLineChars="200"/>
        <w:rPr>
          <w:rFonts w:hint="eastAsia" w:hAnsi="宋体"/>
          <w:szCs w:val="21"/>
        </w:rPr>
      </w:pPr>
      <w:r>
        <w:rPr>
          <w:rFonts w:hint="eastAsia" w:hAnsi="宋体"/>
          <w:szCs w:val="21"/>
        </w:rPr>
        <w:t>中标人给招标人带来损失的按相关条款进行处罚。中标人给招标人带来损失的按相关条款进行处罚。</w:t>
      </w:r>
    </w:p>
    <w:p>
      <w:pPr>
        <w:pStyle w:val="61"/>
        <w:rPr>
          <w:rFonts w:hint="eastAsia" w:ascii="宋体" w:hAnsi="宋体"/>
        </w:rPr>
      </w:pPr>
      <w:r>
        <w:rPr>
          <w:rFonts w:hint="eastAsia" w:ascii="宋体" w:hAnsi="宋体"/>
        </w:rPr>
        <w:t>四、异议与投诉</w:t>
      </w:r>
    </w:p>
    <w:p>
      <w:pPr>
        <w:widowControl/>
        <w:spacing w:line="360" w:lineRule="auto"/>
        <w:ind w:firstLine="420" w:firstLineChars="200"/>
        <w:rPr>
          <w:rFonts w:hint="eastAsia" w:hAnsi="宋体"/>
          <w:szCs w:val="21"/>
        </w:rPr>
      </w:pPr>
      <w:r>
        <w:rPr>
          <w:rFonts w:hint="eastAsia" w:hAnsi="宋体"/>
          <w:szCs w:val="21"/>
        </w:rPr>
        <w:t>投标人或其他利害关系人对招标活动有异议的应在符合中华人民共和国招标投标法规定的时间内向招标中心提出，招标中心在规定的时间内做出答复。提出异议投标人或其他利害关系人，对招标中心答复不满意的，可在中华人民共和国招标投标法规定的时间内，以书面形式向物资管理部投诉。超过规定时间的异议与投诉不予接收。</w:t>
      </w:r>
    </w:p>
    <w:p>
      <w:pPr>
        <w:widowControl/>
        <w:spacing w:line="360" w:lineRule="auto"/>
        <w:ind w:firstLine="420" w:firstLineChars="200"/>
        <w:rPr>
          <w:rFonts w:hint="eastAsia" w:hAnsi="宋体"/>
          <w:szCs w:val="21"/>
        </w:rPr>
      </w:pPr>
      <w:r>
        <w:rPr>
          <w:rFonts w:hint="eastAsia" w:hAnsi="宋体"/>
          <w:szCs w:val="21"/>
        </w:rPr>
        <w:t>1、异议的提出</w:t>
      </w:r>
    </w:p>
    <w:p>
      <w:pPr>
        <w:widowControl/>
        <w:spacing w:line="360" w:lineRule="auto"/>
        <w:ind w:firstLine="420" w:firstLineChars="200"/>
        <w:rPr>
          <w:rFonts w:hint="eastAsia" w:hAnsi="宋体"/>
          <w:szCs w:val="21"/>
        </w:rPr>
      </w:pPr>
      <w:r>
        <w:rPr>
          <w:rFonts w:hint="eastAsia" w:hAnsi="宋体"/>
          <w:szCs w:val="21"/>
        </w:rPr>
        <w:t>投标人或其他利害关系人对招标项目评标结果提出异议应当以书面形式提交异议函和必要的证明性材料，异议函应当包括下列内容。①投标人的姓名或者名称、地址、联系人电话、提出异议日期。②异议项目的名称、编号。③具体、明确的质疑事项和与质疑事项相关的请求。④事实依据。⑤必要的法律依据。⑥投标人为自然人的，应当由本人签字；投标人为法人或者其他组织的，应当由法定代表人或者其授权代表签字或者盖章，并加盖公章。</w:t>
      </w:r>
    </w:p>
    <w:p>
      <w:pPr>
        <w:widowControl/>
        <w:spacing w:line="360" w:lineRule="auto"/>
        <w:ind w:firstLine="420" w:firstLineChars="200"/>
        <w:rPr>
          <w:rFonts w:hint="eastAsia" w:hAnsi="宋体"/>
          <w:szCs w:val="21"/>
        </w:rPr>
      </w:pPr>
      <w:r>
        <w:rPr>
          <w:rFonts w:hint="eastAsia" w:hAnsi="宋体"/>
          <w:szCs w:val="21"/>
        </w:rPr>
        <w:t>2、异议的答复</w:t>
      </w:r>
    </w:p>
    <w:p>
      <w:pPr>
        <w:widowControl/>
        <w:spacing w:line="360" w:lineRule="auto"/>
        <w:ind w:firstLine="420" w:firstLineChars="200"/>
        <w:rPr>
          <w:rFonts w:hint="eastAsia" w:hAnsi="宋体"/>
          <w:szCs w:val="21"/>
        </w:rPr>
      </w:pPr>
      <w:r>
        <w:rPr>
          <w:rFonts w:hint="eastAsia" w:hAnsi="宋体"/>
          <w:szCs w:val="21"/>
        </w:rPr>
        <w:t>招标中心对内容齐全、且有必要证明材料的异议应当及时作出答复。对于招标中心答复困难的异议，招标人、评审专家应当配合招标中心进行答复。</w:t>
      </w:r>
    </w:p>
    <w:p>
      <w:pPr>
        <w:widowControl/>
        <w:spacing w:line="360" w:lineRule="auto"/>
        <w:ind w:firstLine="420" w:firstLineChars="200"/>
        <w:rPr>
          <w:rFonts w:hint="eastAsia" w:hAnsi="宋体"/>
          <w:szCs w:val="21"/>
        </w:rPr>
      </w:pPr>
      <w:r>
        <w:rPr>
          <w:rFonts w:hint="eastAsia" w:hAnsi="宋体"/>
          <w:szCs w:val="21"/>
        </w:rPr>
        <w:t>3、投诉处理</w:t>
      </w:r>
    </w:p>
    <w:p>
      <w:pPr>
        <w:widowControl/>
        <w:spacing w:line="360" w:lineRule="auto"/>
        <w:ind w:firstLine="420" w:firstLineChars="200"/>
        <w:rPr>
          <w:rFonts w:hint="eastAsia" w:hAnsi="宋体"/>
          <w:szCs w:val="21"/>
        </w:rPr>
      </w:pPr>
      <w:r>
        <w:rPr>
          <w:rFonts w:hint="eastAsia" w:hAnsi="宋体"/>
          <w:szCs w:val="21"/>
        </w:rPr>
        <w:t xml:space="preserve">   投诉应当有明确的请求和必要的证明材料，且投诉事项不得超出所提异议的范围。投诉处理按照集团公司、油田公司相关管理规定执行。投诉人书面申请撤回投诉的，应当终止投诉处理程序。</w:t>
      </w:r>
    </w:p>
    <w:p>
      <w:pPr>
        <w:widowControl/>
        <w:spacing w:line="360" w:lineRule="auto"/>
        <w:ind w:firstLine="420" w:firstLineChars="200"/>
        <w:rPr>
          <w:rFonts w:hint="eastAsia" w:hAnsi="宋体"/>
          <w:szCs w:val="21"/>
        </w:rPr>
      </w:pPr>
      <w:r>
        <w:rPr>
          <w:rFonts w:hint="eastAsia" w:hAnsi="宋体"/>
          <w:szCs w:val="21"/>
        </w:rPr>
        <w:t>4、不当、无效异议与投诉</w:t>
      </w:r>
    </w:p>
    <w:p>
      <w:pPr>
        <w:widowControl/>
        <w:spacing w:line="360" w:lineRule="auto"/>
        <w:ind w:firstLine="420" w:firstLineChars="200"/>
        <w:rPr>
          <w:rFonts w:hint="eastAsia" w:hAnsi="宋体"/>
          <w:szCs w:val="21"/>
        </w:rPr>
      </w:pPr>
      <w:r>
        <w:rPr>
          <w:rFonts w:hint="eastAsia" w:hAnsi="宋体"/>
          <w:szCs w:val="21"/>
        </w:rPr>
        <w:t>参与辽河油田招标项目的潜在投标人、投标人和其他利害关系人认为该项目的招标投标活动不符合国家相关法律法规规定的，应按照《辽河油田公司招标管理办法》规定的流程、事项、时限、形式以及内容等要求提起异议。对于不符合上述规定，不遵守《投标人自律守则》(附件5)，反复提交无新增证据或诉求材料的异议，就同一内容向多部门同时提出异议，捏造事实、伪造材料或者以非法手段取得证明材料，以异议为名恶意排挤竞争对手的行为，将根据集团公司《投标人失信行为管理办法(试行)》，按照《投标人失信行为分类、等级划分与记分标准(不当异议)》，分一般、较重、严重几个等级进行失信扣分处理，失信企业在中国石油所有招标项目中执行评标加价或扣分、暂停投标资格、直至取消投标资格。</w:t>
      </w:r>
    </w:p>
    <w:p>
      <w:pPr>
        <w:widowControl/>
        <w:spacing w:line="360" w:lineRule="auto"/>
        <w:ind w:firstLine="420" w:firstLineChars="200"/>
        <w:rPr>
          <w:rFonts w:hint="eastAsia" w:hAnsi="宋体"/>
          <w:szCs w:val="21"/>
        </w:rPr>
      </w:pPr>
      <w:r>
        <w:rPr>
          <w:rFonts w:hint="eastAsia" w:hAnsi="宋体"/>
          <w:szCs w:val="21"/>
        </w:rPr>
        <w:t>①对于12个月内2次异议无效的由招标中心形成书面材料上报物资管理部，列入不良行为记录名单，禁止其1至2年参加辽河油田公司招标等采购活动。</w:t>
      </w:r>
    </w:p>
    <w:p>
      <w:pPr>
        <w:widowControl/>
        <w:spacing w:line="360" w:lineRule="auto"/>
        <w:ind w:firstLine="420" w:firstLineChars="200"/>
        <w:rPr>
          <w:rFonts w:hint="eastAsia" w:hAnsi="宋体"/>
          <w:szCs w:val="21"/>
        </w:rPr>
      </w:pPr>
      <w:r>
        <w:rPr>
          <w:rFonts w:hint="eastAsia" w:hAnsi="宋体"/>
          <w:szCs w:val="21"/>
        </w:rPr>
        <w:t>②对于12个月内2次投诉查无实据的，由物资管理部列入不良行为记录名单，禁止其2至3年参加辽河油田公司招标等采购活动。</w:t>
      </w:r>
    </w:p>
    <w:p>
      <w:pPr>
        <w:widowControl/>
        <w:spacing w:line="360" w:lineRule="auto"/>
        <w:ind w:firstLine="420" w:firstLineChars="200"/>
        <w:rPr>
          <w:rFonts w:hint="eastAsia" w:hAnsi="宋体"/>
          <w:szCs w:val="21"/>
        </w:rPr>
      </w:pPr>
      <w:r>
        <w:rPr>
          <w:rFonts w:hint="eastAsia" w:hAnsi="宋体"/>
          <w:szCs w:val="21"/>
        </w:rPr>
        <w:t xml:space="preserve">③对于已经取得辽河油田物资采购准入资质的供应商有以上不当异议（投诉）、无效异议（投诉）情形的，除禁止其参加辽河油田公司招标等采购活动外，还将禁止其6-12个月的物资采购准入资格。   </w:t>
      </w:r>
    </w:p>
    <w:p>
      <w:pPr>
        <w:pStyle w:val="2"/>
        <w:rPr>
          <w:rFonts w:hint="eastAsia" w:hAnsi="宋体"/>
          <w:szCs w:val="21"/>
        </w:rPr>
      </w:pPr>
    </w:p>
    <w:p>
      <w:pPr>
        <w:pStyle w:val="2"/>
        <w:rPr>
          <w:rFonts w:hint="eastAsia" w:hAnsi="宋体"/>
          <w:szCs w:val="21"/>
        </w:rPr>
      </w:pPr>
    </w:p>
    <w:p>
      <w:pPr>
        <w:pStyle w:val="127"/>
        <w:outlineLvl w:val="1"/>
        <w:rPr>
          <w:rFonts w:hint="eastAsia" w:ascii="宋体" w:eastAsia="宋体" w:cs="宋体"/>
          <w:b/>
          <w:bCs/>
          <w:color w:val="000000"/>
        </w:rPr>
      </w:pPr>
      <w:bookmarkStart w:id="497" w:name="_Toc24782"/>
      <w:r>
        <w:rPr>
          <w:rFonts w:hint="eastAsia" w:ascii="宋体" w:eastAsia="宋体" w:cs="宋体"/>
          <w:b/>
          <w:bCs/>
          <w:color w:val="000000"/>
        </w:rPr>
        <w:t>附件1-5：2022年二级物资集中采购32大类电线（JC2022-WⅡ-32-03包）评分细则</w:t>
      </w:r>
      <w:bookmarkEnd w:id="497"/>
    </w:p>
    <w:p>
      <w:pPr>
        <w:pStyle w:val="127"/>
        <w:outlineLvl w:val="1"/>
        <w:rPr>
          <w:rFonts w:hint="eastAsia" w:ascii="宋体" w:eastAsia="宋体" w:cs="宋体"/>
          <w:b/>
          <w:bCs/>
          <w:color w:val="000000"/>
        </w:rPr>
      </w:pPr>
      <w:bookmarkStart w:id="498" w:name="_Toc21835"/>
      <w:r>
        <w:rPr>
          <w:rFonts w:hint="eastAsia" w:ascii="宋体" w:eastAsia="宋体" w:cs="宋体"/>
          <w:b/>
          <w:bCs/>
          <w:color w:val="000000"/>
        </w:rPr>
        <w:t>附件1：2022年二级物资集中采购32大类电线（JC2022-WⅡ-32-03包） 招标明细表</w:t>
      </w:r>
      <w:bookmarkEnd w:id="498"/>
    </w:p>
    <w:p>
      <w:pPr>
        <w:pStyle w:val="127"/>
        <w:outlineLvl w:val="1"/>
        <w:rPr>
          <w:rFonts w:hint="eastAsia" w:ascii="宋体" w:eastAsia="宋体" w:cs="宋体"/>
          <w:b/>
          <w:bCs/>
          <w:color w:val="000000"/>
        </w:rPr>
      </w:pPr>
      <w:bookmarkStart w:id="499" w:name="_Toc7320"/>
      <w:r>
        <w:rPr>
          <w:rFonts w:hint="eastAsia" w:ascii="宋体" w:eastAsia="宋体" w:cs="宋体"/>
          <w:b/>
          <w:bCs/>
          <w:color w:val="000000"/>
        </w:rPr>
        <w:t>附件2：2022年二级物资集中采购32大类电线（JC2022-WⅡ-32-03包）最高投标限价表</w:t>
      </w:r>
      <w:bookmarkEnd w:id="499"/>
    </w:p>
    <w:p>
      <w:pPr>
        <w:pStyle w:val="127"/>
        <w:outlineLvl w:val="1"/>
        <w:rPr>
          <w:rFonts w:hint="eastAsia" w:ascii="宋体" w:eastAsia="宋体" w:cs="宋体"/>
          <w:b/>
          <w:bCs/>
          <w:color w:val="000000"/>
        </w:rPr>
      </w:pPr>
      <w:bookmarkStart w:id="500" w:name="_Toc28755"/>
      <w:r>
        <w:rPr>
          <w:rFonts w:hint="eastAsia" w:ascii="宋体" w:eastAsia="宋体" w:cs="宋体"/>
          <w:b/>
          <w:bCs/>
          <w:color w:val="000000"/>
        </w:rPr>
        <w:t>附件3：2022年二级物资集中采购32大类电线（JC2022-WⅡ-32-03包） 投标报价表</w:t>
      </w:r>
      <w:bookmarkEnd w:id="500"/>
    </w:p>
    <w:p>
      <w:pPr>
        <w:pStyle w:val="127"/>
        <w:outlineLvl w:val="1"/>
        <w:rPr>
          <w:rFonts w:hint="eastAsia" w:ascii="宋体" w:eastAsia="宋体" w:cs="宋体"/>
          <w:b/>
          <w:bCs/>
          <w:color w:val="000000"/>
        </w:rPr>
      </w:pPr>
      <w:bookmarkStart w:id="501" w:name="_Toc28785"/>
      <w:r>
        <w:rPr>
          <w:rFonts w:hint="eastAsia" w:ascii="宋体" w:eastAsia="宋体" w:cs="宋体"/>
          <w:b/>
          <w:bCs/>
          <w:color w:val="000000"/>
        </w:rPr>
        <w:t>附件4：合规承诺书</w:t>
      </w:r>
      <w:bookmarkEnd w:id="501"/>
    </w:p>
    <w:p>
      <w:pPr>
        <w:pStyle w:val="127"/>
        <w:outlineLvl w:val="1"/>
        <w:rPr>
          <w:rFonts w:hint="eastAsia" w:ascii="宋体" w:eastAsia="宋体" w:cs="宋体"/>
          <w:b/>
          <w:bCs/>
          <w:color w:val="000000"/>
        </w:rPr>
      </w:pPr>
      <w:bookmarkStart w:id="502" w:name="_Toc21913"/>
      <w:r>
        <w:rPr>
          <w:rFonts w:hint="eastAsia" w:ascii="宋体" w:eastAsia="宋体" w:cs="宋体"/>
          <w:b/>
          <w:bCs/>
          <w:color w:val="000000"/>
        </w:rPr>
        <w:t>附件5：投标人自律守则</w:t>
      </w:r>
      <w:bookmarkEnd w:id="502"/>
    </w:p>
    <w:p>
      <w:pPr>
        <w:pStyle w:val="127"/>
        <w:outlineLvl w:val="1"/>
        <w:rPr>
          <w:rFonts w:hint="eastAsia" w:ascii="宋体" w:eastAsia="宋体" w:cs="宋体"/>
          <w:b/>
          <w:bCs/>
          <w:color w:val="000000"/>
        </w:rPr>
      </w:pPr>
      <w:bookmarkStart w:id="503" w:name="_Toc12105"/>
      <w:r>
        <w:rPr>
          <w:rFonts w:hint="eastAsia" w:ascii="宋体" w:eastAsia="宋体" w:cs="宋体"/>
          <w:b/>
          <w:bCs/>
          <w:color w:val="000000"/>
        </w:rPr>
        <w:t>附件6：销售业绩统计表</w:t>
      </w:r>
      <w:bookmarkEnd w:id="503"/>
    </w:p>
    <w:p>
      <w:pPr>
        <w:pStyle w:val="127"/>
        <w:outlineLvl w:val="1"/>
        <w:rPr>
          <w:rFonts w:hint="eastAsia" w:ascii="宋体" w:eastAsia="宋体" w:cs="宋体"/>
          <w:b/>
          <w:bCs/>
          <w:color w:val="000000"/>
          <w:sz w:val="21"/>
          <w:szCs w:val="21"/>
        </w:rPr>
      </w:pPr>
    </w:p>
    <w:p>
      <w:pPr>
        <w:widowControl/>
        <w:spacing w:line="360" w:lineRule="auto"/>
        <w:ind w:firstLine="420" w:firstLineChars="200"/>
        <w:rPr>
          <w:rFonts w:hint="eastAsia" w:hAnsi="宋体"/>
          <w:color w:val="FF0000"/>
          <w:szCs w:val="21"/>
        </w:rPr>
      </w:pPr>
    </w:p>
    <w:p>
      <w:pPr>
        <w:pStyle w:val="127"/>
        <w:outlineLvl w:val="1"/>
        <w:rPr>
          <w:rFonts w:hint="eastAsia"/>
          <w:sz w:val="24"/>
          <w:szCs w:val="24"/>
        </w:rPr>
      </w:pPr>
    </w:p>
    <w:bookmarkEnd w:id="491"/>
    <w:bookmarkEnd w:id="492"/>
    <w:bookmarkEnd w:id="493"/>
    <w:bookmarkEnd w:id="494"/>
    <w:bookmarkEnd w:id="495"/>
    <w:bookmarkEnd w:id="496"/>
    <w:p>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附件4</w:t>
      </w:r>
    </w:p>
    <w:p>
      <w:pPr>
        <w:jc w:val="center"/>
        <w:rPr>
          <w:rFonts w:ascii="方正小标宋简体" w:eastAsia="方正小标宋简体"/>
          <w:sz w:val="44"/>
          <w:szCs w:val="44"/>
        </w:rPr>
      </w:pPr>
      <w:r>
        <w:rPr>
          <w:rFonts w:hint="eastAsia" w:ascii="方正小标宋简体" w:eastAsia="方正小标宋简体"/>
          <w:sz w:val="44"/>
          <w:szCs w:val="44"/>
        </w:rPr>
        <w:t>合规承诺书</w:t>
      </w:r>
    </w:p>
    <w:p>
      <w:pPr>
        <w:spacing w:line="480" w:lineRule="auto"/>
        <w:ind w:firstLine="640" w:firstLineChars="200"/>
        <w:rPr>
          <w:rFonts w:ascii="方正仿宋简体" w:eastAsia="方正仿宋简体"/>
          <w:sz w:val="32"/>
          <w:szCs w:val="32"/>
        </w:rPr>
      </w:pPr>
    </w:p>
    <w:p>
      <w:pPr>
        <w:spacing w:line="480" w:lineRule="auto"/>
        <w:ind w:firstLine="640" w:firstLineChars="200"/>
        <w:rPr>
          <w:rFonts w:ascii="方正仿宋简体" w:eastAsia="方正仿宋简体"/>
          <w:sz w:val="32"/>
          <w:szCs w:val="32"/>
        </w:rPr>
      </w:pPr>
      <w:r>
        <w:rPr>
          <w:rFonts w:hint="eastAsia" w:ascii="方正仿宋简体" w:eastAsia="方正仿宋简体"/>
          <w:sz w:val="32"/>
          <w:szCs w:val="32"/>
        </w:rPr>
        <w:t>我单位在此郑重承诺，我们所提供的一切资料及其数据内容真实有效。过去3年间在经营活动中具有良好的商业信誉，无违法记录和重大法律纠纷，公司股东、管理人员、员工不存在被有关机构列入黑名单或被制裁的情况，无出租、出借、转让经营资质证照等行为。已制定诚信合规计划，能够根据公司实际定期对所有员工及管理人员进行诚信合规培训。</w:t>
      </w:r>
    </w:p>
    <w:p>
      <w:pPr>
        <w:spacing w:line="480" w:lineRule="auto"/>
        <w:ind w:firstLine="640" w:firstLineChars="200"/>
        <w:rPr>
          <w:rFonts w:ascii="方正仿宋简体" w:eastAsia="方正仿宋简体"/>
          <w:sz w:val="32"/>
          <w:szCs w:val="32"/>
        </w:rPr>
      </w:pPr>
      <w:r>
        <w:rPr>
          <w:rFonts w:hint="eastAsia" w:ascii="方正仿宋简体" w:eastAsia="方正仿宋简体"/>
          <w:sz w:val="32"/>
          <w:szCs w:val="32"/>
        </w:rPr>
        <w:t>我单位声明已知晓《中国石油诚信合规手册》内容，开展相关交易活动将遵守该手册的诚信合规要求，保证交易行为遵守国家关于市场准入、招标投标、工程建设、安全环保、质量管理、市场竞争等法律法规。我们承诺不存在虚假投标、串通投标、围标等违法投标行为。若交易中出现不合规行为，愿意提供合规保证或承担相应责任，直至行为合规。</w:t>
      </w:r>
    </w:p>
    <w:p>
      <w:pPr>
        <w:ind w:firstLine="640" w:firstLineChars="200"/>
        <w:rPr>
          <w:rFonts w:ascii="方正仿宋简体" w:eastAsia="方正仿宋简体"/>
          <w:sz w:val="32"/>
          <w:szCs w:val="32"/>
        </w:rPr>
      </w:pPr>
    </w:p>
    <w:p>
      <w:pPr>
        <w:ind w:firstLine="640" w:firstLineChars="200"/>
        <w:rPr>
          <w:rFonts w:ascii="方正仿宋简体" w:eastAsia="方正仿宋简体"/>
          <w:sz w:val="32"/>
          <w:szCs w:val="32"/>
        </w:rPr>
      </w:pPr>
      <w:r>
        <w:rPr>
          <w:rFonts w:hint="eastAsia" w:ascii="方正仿宋简体" w:eastAsia="方正仿宋简体"/>
          <w:sz w:val="32"/>
          <w:szCs w:val="32"/>
        </w:rPr>
        <w:t>承诺企业（盖章）：</w:t>
      </w:r>
    </w:p>
    <w:p>
      <w:pPr>
        <w:ind w:firstLine="640" w:firstLineChars="200"/>
        <w:rPr>
          <w:rFonts w:ascii="方正仿宋简体" w:eastAsia="方正仿宋简体"/>
          <w:sz w:val="32"/>
          <w:szCs w:val="32"/>
        </w:rPr>
      </w:pPr>
      <w:r>
        <w:rPr>
          <w:rFonts w:hint="eastAsia" w:ascii="方正仿宋简体" w:eastAsia="方正仿宋简体"/>
          <w:sz w:val="32"/>
          <w:szCs w:val="32"/>
        </w:rPr>
        <w:t>法定代表人（签字）：</w:t>
      </w:r>
    </w:p>
    <w:p>
      <w:pPr>
        <w:ind w:firstLine="640" w:firstLineChars="200"/>
        <w:rPr>
          <w:rFonts w:ascii="方正仿宋简体" w:eastAsia="方正仿宋简体"/>
          <w:sz w:val="32"/>
          <w:szCs w:val="32"/>
        </w:rPr>
      </w:pPr>
      <w:r>
        <w:rPr>
          <w:rFonts w:hint="eastAsia" w:ascii="方正仿宋简体" w:eastAsia="方正仿宋简体"/>
          <w:sz w:val="32"/>
          <w:szCs w:val="32"/>
        </w:rPr>
        <w:t xml:space="preserve">                                  年   月   日</w:t>
      </w:r>
    </w:p>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spacing w:line="560" w:lineRule="exact"/>
        <w:rPr>
          <w:rFonts w:hint="eastAsia"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t>附件5</w:t>
      </w:r>
    </w:p>
    <w:p>
      <w:pPr>
        <w:spacing w:line="560" w:lineRule="exact"/>
        <w:ind w:firstLine="880" w:firstLineChars="200"/>
        <w:jc w:val="center"/>
        <w:rPr>
          <w:rFonts w:ascii="方正小标宋简体" w:eastAsia="方正小标宋简体"/>
          <w:color w:val="000000"/>
          <w:sz w:val="44"/>
          <w:szCs w:val="44"/>
        </w:rPr>
      </w:pPr>
      <w:r>
        <w:rPr>
          <w:rFonts w:hint="eastAsia" w:ascii="方正小标宋简体" w:eastAsia="方正小标宋简体"/>
          <w:color w:val="000000"/>
          <w:sz w:val="44"/>
          <w:szCs w:val="44"/>
        </w:rPr>
        <w:t>投标人自律守则</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一、严格遵守《中华人民共和国招标投标法》等国家有关法律法规和集团公司相关规章制度，依法从事投标和其它交易活动，诚实守信，自觉接受国家、社会和集团公司监督。</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二、自觉维护市场秩序，不得出借或借用、买卖、伪造企业和从业人员的资质证书、营业执照、资产业绩等相关资信证明文件和印章，严禁以其它企业或个人名义投标。</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三、严格遵守法律、法规和招标文件规定的投标程序。参与项目投标应当具有国家和招标文件规定的资质、业绩或许可条件，不得隐瞒真实情况，弄虚作假，骗取投标和中标资格。</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四、坚决抵制和杜绝串标、围标、贿赂等违法投标和不正当竞争行为。不得相互串通投标或者与招标人串通投标；不得向招标人或者评标委员会成员行贿谋取中标；不得以他人名义投标或者以其它方式弄虚作假骗取中标；不得以任何方式干扰、影响评标工作；不得违背国家有关价格规定或低于成本价竞争。</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五、严格遵守招标投标程序，按照要求缴纳投标保证金、中标服务费、履约保证金等；严格按中标条件签订和履行合同，不得将项目违法转包、违规分包。</w:t>
      </w:r>
    </w:p>
    <w:p>
      <w:pPr>
        <w:widowControl/>
        <w:shd w:val="clear" w:color="auto" w:fill="FFFFFF"/>
        <w:spacing w:line="540" w:lineRule="exact"/>
        <w:ind w:firstLine="640" w:firstLineChars="200"/>
        <w:rPr>
          <w:rFonts w:ascii="方正仿宋简体" w:hAnsi="宋体" w:eastAsia="方正仿宋简体" w:cs="宋体"/>
          <w:color w:val="000000"/>
          <w:sz w:val="32"/>
          <w:szCs w:val="32"/>
        </w:rPr>
      </w:pPr>
      <w:r>
        <w:rPr>
          <w:rFonts w:hint="eastAsia" w:ascii="方正仿宋简体" w:hAnsi="宋体" w:eastAsia="方正仿宋简体" w:cs="宋体"/>
          <w:color w:val="000000"/>
          <w:sz w:val="32"/>
          <w:szCs w:val="32"/>
        </w:rPr>
        <w:t>六、依法经营，公平竞争，不得采取虚假、诽谤、恶意投诉等违法或不正当手段损害、侵犯其它企业的正当权益。</w:t>
      </w:r>
    </w:p>
    <w:p>
      <w:pPr>
        <w:widowControl/>
        <w:shd w:val="clear" w:color="auto" w:fill="FFFFFF"/>
        <w:spacing w:line="540" w:lineRule="exact"/>
        <w:ind w:firstLine="640" w:firstLineChars="200"/>
        <w:rPr>
          <w:rFonts w:ascii="方正仿宋简体" w:hAnsi="宋体" w:eastAsia="方正仿宋简体" w:cs="Arial"/>
          <w:color w:val="000000"/>
          <w:sz w:val="30"/>
          <w:szCs w:val="30"/>
        </w:rPr>
      </w:pPr>
      <w:r>
        <w:rPr>
          <w:rFonts w:hint="eastAsia" w:ascii="方正仿宋简体" w:hAnsi="宋体" w:eastAsia="方正仿宋简体" w:cs="宋体"/>
          <w:color w:val="000000"/>
          <w:sz w:val="32"/>
          <w:szCs w:val="32"/>
        </w:rPr>
        <w:t>七、对违法和不公正行为投诉时，应当保证投诉内容及相应证明材料的真实合法。</w:t>
      </w: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61"/>
        <w:spacing w:line="240" w:lineRule="auto"/>
        <w:ind w:firstLine="0" w:firstLineChars="0"/>
        <w:rPr>
          <w:rFonts w:hint="eastAsia" w:ascii="方正仿宋简体" w:hAnsi="方正仿宋简体" w:eastAsia="方正仿宋简体" w:cs="方正仿宋简体"/>
          <w:bCs/>
          <w:sz w:val="32"/>
          <w:szCs w:val="32"/>
        </w:rPr>
        <w:sectPr>
          <w:headerReference r:id="rId15" w:type="default"/>
          <w:footerReference r:id="rId16" w:type="default"/>
          <w:pgSz w:w="11907" w:h="16840"/>
          <w:pgMar w:top="1418" w:right="1474" w:bottom="1418" w:left="1474" w:header="851" w:footer="992" w:gutter="0"/>
          <w:cols w:space="720" w:num="1"/>
          <w:docGrid w:type="lines" w:linePitch="318" w:charSpace="0"/>
        </w:sectPr>
      </w:pPr>
    </w:p>
    <w:p>
      <w:pPr>
        <w:pStyle w:val="61"/>
        <w:spacing w:line="240" w:lineRule="auto"/>
        <w:ind w:firstLine="0" w:firstLineChars="0"/>
        <w:rPr>
          <w:rFonts w:hint="eastAsia"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附件6</w:t>
      </w:r>
    </w:p>
    <w:tbl>
      <w:tblPr>
        <w:tblStyle w:val="46"/>
        <w:tblW w:w="14190" w:type="dxa"/>
        <w:tblInd w:w="2" w:type="dxa"/>
        <w:tblLayout w:type="autofit"/>
        <w:tblCellMar>
          <w:top w:w="0" w:type="dxa"/>
          <w:left w:w="108" w:type="dxa"/>
          <w:bottom w:w="0" w:type="dxa"/>
          <w:right w:w="108" w:type="dxa"/>
        </w:tblCellMar>
      </w:tblPr>
      <w:tblGrid>
        <w:gridCol w:w="724"/>
        <w:gridCol w:w="1504"/>
        <w:gridCol w:w="1615"/>
        <w:gridCol w:w="1559"/>
        <w:gridCol w:w="1984"/>
        <w:gridCol w:w="1134"/>
        <w:gridCol w:w="1701"/>
        <w:gridCol w:w="1134"/>
        <w:gridCol w:w="1196"/>
        <w:gridCol w:w="1639"/>
      </w:tblGrid>
      <w:tr>
        <w:tblPrEx>
          <w:tblCellMar>
            <w:top w:w="0" w:type="dxa"/>
            <w:left w:w="108" w:type="dxa"/>
            <w:bottom w:w="0" w:type="dxa"/>
            <w:right w:w="108" w:type="dxa"/>
          </w:tblCellMar>
        </w:tblPrEx>
        <w:trPr>
          <w:trHeight w:val="555" w:hRule="atLeast"/>
        </w:trPr>
        <w:tc>
          <w:tcPr>
            <w:tcW w:w="14190" w:type="dxa"/>
            <w:gridSpan w:val="10"/>
            <w:tcBorders>
              <w:top w:val="nil"/>
              <w:left w:val="nil"/>
              <w:bottom w:val="nil"/>
              <w:right w:val="nil"/>
            </w:tcBorders>
            <w:noWrap/>
            <w:vAlign w:val="center"/>
          </w:tcPr>
          <w:p>
            <w:pPr>
              <w:jc w:val="center"/>
              <w:rPr>
                <w:rFonts w:ascii="黑体" w:hAnsi="黑体" w:eastAsia="黑体"/>
                <w:color w:val="000000"/>
                <w:sz w:val="36"/>
                <w:szCs w:val="36"/>
              </w:rPr>
            </w:pPr>
            <w:r>
              <w:rPr>
                <w:rFonts w:hint="eastAsia" w:ascii="黑体" w:hAnsi="黑体" w:eastAsia="黑体" w:cs="黑体"/>
                <w:color w:val="000000"/>
                <w:sz w:val="36"/>
                <w:szCs w:val="36"/>
              </w:rPr>
              <w:t>销售业绩统计表</w:t>
            </w:r>
          </w:p>
        </w:tc>
      </w:tr>
      <w:tr>
        <w:tblPrEx>
          <w:tblCellMar>
            <w:top w:w="0" w:type="dxa"/>
            <w:left w:w="108" w:type="dxa"/>
            <w:bottom w:w="0" w:type="dxa"/>
            <w:right w:w="108" w:type="dxa"/>
          </w:tblCellMar>
        </w:tblPrEx>
        <w:trPr>
          <w:trHeight w:val="555" w:hRule="atLeast"/>
        </w:trPr>
        <w:tc>
          <w:tcPr>
            <w:tcW w:w="14190" w:type="dxa"/>
            <w:gridSpan w:val="10"/>
            <w:tcBorders>
              <w:top w:val="nil"/>
              <w:left w:val="nil"/>
              <w:bottom w:val="nil"/>
              <w:right w:val="nil"/>
            </w:tcBorders>
            <w:noWrap/>
            <w:vAlign w:val="center"/>
          </w:tcPr>
          <w:p>
            <w:pPr>
              <w:rPr>
                <w:color w:val="000000"/>
                <w:sz w:val="22"/>
                <w:szCs w:val="22"/>
              </w:rPr>
            </w:pPr>
            <w:r>
              <w:rPr>
                <w:rFonts w:hint="eastAsia" w:hAnsi="宋体" w:cs="宋体"/>
                <w:color w:val="000000"/>
                <w:sz w:val="22"/>
                <w:szCs w:val="22"/>
              </w:rPr>
              <w:t>企业名称：</w:t>
            </w:r>
          </w:p>
        </w:tc>
      </w:tr>
      <w:tr>
        <w:tblPrEx>
          <w:tblCellMar>
            <w:top w:w="0" w:type="dxa"/>
            <w:left w:w="108" w:type="dxa"/>
            <w:bottom w:w="0" w:type="dxa"/>
            <w:right w:w="108" w:type="dxa"/>
          </w:tblCellMar>
        </w:tblPrEx>
        <w:trPr>
          <w:trHeight w:val="624" w:hRule="atLeast"/>
        </w:trPr>
        <w:tc>
          <w:tcPr>
            <w:tcW w:w="72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序号</w:t>
            </w:r>
          </w:p>
        </w:tc>
        <w:tc>
          <w:tcPr>
            <w:tcW w:w="150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产品名称</w:t>
            </w:r>
          </w:p>
        </w:tc>
        <w:tc>
          <w:tcPr>
            <w:tcW w:w="1615"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买方</w:t>
            </w:r>
          </w:p>
        </w:tc>
        <w:tc>
          <w:tcPr>
            <w:tcW w:w="1559"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物料组编码</w:t>
            </w:r>
          </w:p>
        </w:tc>
        <w:tc>
          <w:tcPr>
            <w:tcW w:w="198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合同编号</w:t>
            </w:r>
          </w:p>
        </w:tc>
        <w:tc>
          <w:tcPr>
            <w:tcW w:w="113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合同金额（万元）</w:t>
            </w:r>
          </w:p>
        </w:tc>
        <w:tc>
          <w:tcPr>
            <w:tcW w:w="1701"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发票开具金额（万元）</w:t>
            </w:r>
          </w:p>
        </w:tc>
        <w:tc>
          <w:tcPr>
            <w:tcW w:w="1134"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发票代码</w:t>
            </w:r>
          </w:p>
        </w:tc>
        <w:tc>
          <w:tcPr>
            <w:tcW w:w="1196"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发票号码</w:t>
            </w:r>
          </w:p>
        </w:tc>
        <w:tc>
          <w:tcPr>
            <w:tcW w:w="1639" w:type="dxa"/>
            <w:tcBorders>
              <w:top w:val="single" w:color="auto" w:sz="4" w:space="0"/>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收款方纳税人识别号</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1</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2</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Ansi="宋体" w:cs="宋体"/>
                <w:color w:val="000000"/>
                <w:sz w:val="22"/>
                <w:szCs w:val="22"/>
              </w:rPr>
              <w:t>3</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24" w:type="dxa"/>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w:t>
            </w:r>
          </w:p>
        </w:tc>
        <w:tc>
          <w:tcPr>
            <w:tcW w:w="150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15"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55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98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196"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639"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624" w:hRule="atLeast"/>
        </w:trPr>
        <w:tc>
          <w:tcPr>
            <w:tcW w:w="7386" w:type="dxa"/>
            <w:gridSpan w:val="5"/>
            <w:tcBorders>
              <w:top w:val="nil"/>
              <w:left w:val="single" w:color="auto" w:sz="4" w:space="0"/>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合计</w:t>
            </w:r>
          </w:p>
        </w:tc>
        <w:tc>
          <w:tcPr>
            <w:tcW w:w="1134"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1701" w:type="dxa"/>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c>
          <w:tcPr>
            <w:tcW w:w="3969" w:type="dxa"/>
            <w:gridSpan w:val="3"/>
            <w:tcBorders>
              <w:top w:val="nil"/>
              <w:left w:val="nil"/>
              <w:bottom w:val="single" w:color="auto" w:sz="4" w:space="0"/>
              <w:right w:val="single" w:color="auto" w:sz="4" w:space="0"/>
            </w:tcBorders>
            <w:noWrap/>
            <w:vAlign w:val="center"/>
          </w:tcPr>
          <w:p>
            <w:pPr>
              <w:jc w:val="center"/>
              <w:rPr>
                <w:color w:val="000000"/>
                <w:sz w:val="22"/>
                <w:szCs w:val="22"/>
              </w:rPr>
            </w:pPr>
            <w:r>
              <w:rPr>
                <w:rFonts w:hint="eastAsia" w:hAnsi="宋体" w:cs="宋体"/>
                <w:color w:val="000000"/>
                <w:sz w:val="22"/>
                <w:szCs w:val="22"/>
              </w:rPr>
              <w:t>　</w:t>
            </w:r>
          </w:p>
        </w:tc>
      </w:tr>
      <w:tr>
        <w:tblPrEx>
          <w:tblCellMar>
            <w:top w:w="0" w:type="dxa"/>
            <w:left w:w="108" w:type="dxa"/>
            <w:bottom w:w="0" w:type="dxa"/>
            <w:right w:w="108" w:type="dxa"/>
          </w:tblCellMar>
        </w:tblPrEx>
        <w:trPr>
          <w:trHeight w:val="1320" w:hRule="atLeast"/>
        </w:trPr>
        <w:tc>
          <w:tcPr>
            <w:tcW w:w="14190" w:type="dxa"/>
            <w:gridSpan w:val="10"/>
            <w:tcBorders>
              <w:top w:val="single" w:color="auto" w:sz="4" w:space="0"/>
              <w:left w:val="nil"/>
              <w:bottom w:val="nil"/>
              <w:right w:val="nil"/>
            </w:tcBorders>
            <w:noWrap w:val="0"/>
            <w:vAlign w:val="center"/>
          </w:tcPr>
          <w:p>
            <w:pPr>
              <w:rPr>
                <w:color w:val="000000"/>
                <w:sz w:val="22"/>
                <w:szCs w:val="22"/>
              </w:rPr>
            </w:pPr>
            <w:r>
              <w:rPr>
                <w:rFonts w:hint="eastAsia" w:hAnsi="宋体" w:cs="宋体"/>
                <w:color w:val="000000"/>
                <w:sz w:val="22"/>
                <w:szCs w:val="22"/>
              </w:rPr>
              <w:t>注：</w:t>
            </w:r>
            <w:r>
              <w:rPr>
                <w:rFonts w:hAnsi="宋体" w:cs="宋体"/>
                <w:color w:val="000000"/>
                <w:sz w:val="22"/>
                <w:szCs w:val="22"/>
              </w:rPr>
              <w:t>1.</w:t>
            </w:r>
            <w:r>
              <w:rPr>
                <w:rFonts w:hint="eastAsia" w:hAnsi="宋体" w:cs="宋体"/>
                <w:color w:val="000000"/>
                <w:sz w:val="22"/>
                <w:szCs w:val="22"/>
              </w:rPr>
              <w:t>发票应与合同一一对应；</w:t>
            </w:r>
            <w:r>
              <w:rPr>
                <w:color w:val="000000"/>
                <w:sz w:val="22"/>
                <w:szCs w:val="22"/>
              </w:rPr>
              <w:br w:type="textWrapping"/>
            </w:r>
            <w:r>
              <w:rPr>
                <w:rFonts w:hAnsi="宋体" w:cs="宋体"/>
                <w:color w:val="000000"/>
                <w:sz w:val="22"/>
                <w:szCs w:val="22"/>
              </w:rPr>
              <w:t xml:space="preserve">    2.</w:t>
            </w:r>
            <w:r>
              <w:rPr>
                <w:rFonts w:hint="eastAsia" w:hAnsi="宋体" w:cs="宋体"/>
                <w:color w:val="000000"/>
                <w:sz w:val="22"/>
                <w:szCs w:val="22"/>
              </w:rPr>
              <w:t>合同金额仅填写与所投包别相关产品的签约金额；</w:t>
            </w:r>
            <w:r>
              <w:rPr>
                <w:color w:val="000000"/>
                <w:sz w:val="22"/>
                <w:szCs w:val="22"/>
              </w:rPr>
              <w:br w:type="textWrapping"/>
            </w:r>
            <w:r>
              <w:rPr>
                <w:rFonts w:hAnsi="宋体" w:cs="宋体"/>
                <w:color w:val="000000"/>
                <w:sz w:val="22"/>
                <w:szCs w:val="22"/>
              </w:rPr>
              <w:t xml:space="preserve">    3.</w:t>
            </w:r>
            <w:r>
              <w:rPr>
                <w:rFonts w:hint="eastAsia" w:hAnsi="宋体" w:cs="宋体"/>
                <w:color w:val="000000"/>
                <w:sz w:val="22"/>
                <w:szCs w:val="22"/>
              </w:rPr>
              <w:t>发票开具金额为含增值税金额；</w:t>
            </w:r>
          </w:p>
          <w:p>
            <w:pPr>
              <w:rPr>
                <w:color w:val="000000"/>
                <w:sz w:val="22"/>
                <w:szCs w:val="22"/>
              </w:rPr>
            </w:pPr>
            <w:r>
              <w:rPr>
                <w:rFonts w:hAnsi="宋体" w:cs="宋体"/>
                <w:color w:val="000000"/>
                <w:sz w:val="22"/>
                <w:szCs w:val="22"/>
              </w:rPr>
              <w:t xml:space="preserve">    </w:t>
            </w:r>
            <w:r>
              <w:rPr>
                <w:rFonts w:hint="eastAsia" w:hAnsi="宋体" w:cs="宋体"/>
                <w:color w:val="000000"/>
                <w:sz w:val="22"/>
                <w:szCs w:val="22"/>
              </w:rPr>
              <w:t>4</w:t>
            </w:r>
            <w:r>
              <w:rPr>
                <w:rFonts w:cs="宋体"/>
                <w:color w:val="000000"/>
                <w:sz w:val="22"/>
                <w:szCs w:val="22"/>
              </w:rPr>
              <w:t>.</w:t>
            </w:r>
            <w:r>
              <w:rPr>
                <w:rFonts w:hint="eastAsia" w:hAnsi="宋体" w:cs="宋体"/>
                <w:color w:val="000000"/>
                <w:sz w:val="22"/>
                <w:szCs w:val="22"/>
              </w:rPr>
              <w:t>严格按照格式填写发票信息，以便网上查验。</w:t>
            </w:r>
          </w:p>
        </w:tc>
      </w:tr>
    </w:tbl>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p>
      <w:pPr>
        <w:pStyle w:val="127"/>
        <w:outlineLvl w:val="1"/>
        <w:rPr>
          <w:rFonts w:hint="eastAsia" w:ascii="宋体" w:eastAsia="宋体"/>
          <w:sz w:val="21"/>
          <w:szCs w:val="21"/>
        </w:rPr>
      </w:pPr>
    </w:p>
    <w:sectPr>
      <w:pgSz w:w="16840" w:h="11907" w:orient="landscape"/>
      <w:pgMar w:top="1474" w:right="1418" w:bottom="1474" w:left="1418" w:header="851" w:footer="992" w:gutter="0"/>
      <w:cols w:space="720" w:num="1"/>
      <w:docGrid w:type="lines" w:linePitch="31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287" w:usb1="00000800" w:usb2="00000000" w:usb3="00000000" w:csb0="0000009F" w:csb1="00000000"/>
  </w:font>
  <w:font w:name="Arial">
    <w:panose1 w:val="020B0604020202020204"/>
    <w:charset w:val="00"/>
    <w:family w:val="auto"/>
    <w:pitch w:val="default"/>
    <w:sig w:usb0="E0002EFF" w:usb1="C000785B" w:usb2="00000009" w:usb3="00000000" w:csb0="400001FF" w:csb1="FFFF0000"/>
  </w:font>
  <w:font w:name="MS Sans Serif">
    <w:altName w:val="Arial"/>
    <w:panose1 w:val="00000000000000000000"/>
    <w:charset w:val="00"/>
    <w:family w:val="swiss"/>
    <w:pitch w:val="default"/>
    <w:sig w:usb0="00000003" w:usb1="00000000" w:usb2="00000000" w:usb3="00000000" w:csb0="00000001" w:csb1="00000000"/>
  </w:font>
  <w:font w:name="CG Times (W1)">
    <w:altName w:val="Times New Roman"/>
    <w:panose1 w:val="00000000000000000000"/>
    <w:charset w:val="00"/>
    <w:family w:val="roman"/>
    <w:pitch w:val="default"/>
    <w:sig w:usb0="00000003" w:usb1="00000000" w:usb2="00000000" w:usb3="00000000" w:csb0="00000001" w:csb1="00000000"/>
  </w:font>
  <w:font w:name="PMingLiU">
    <w:altName w:val="Microsoft JhengHei UI"/>
    <w:panose1 w:val="02010601000101010101"/>
    <w:charset w:val="88"/>
    <w:family w:val="roman"/>
    <w:pitch w:val="default"/>
    <w:sig w:usb0="A00002FF" w:usb1="28CFFCFA"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Arial"/>
    <w:panose1 w:val="020B0604020202020204"/>
    <w:charset w:val="00"/>
    <w:family w:val="roman"/>
    <w:pitch w:val="default"/>
    <w:sig w:usb0="00000003" w:usb1="00000000" w:usb2="00000000" w:usb3="00000000" w:csb0="00000001"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80E0000" w:usb2="00000010" w:usb3="00000000" w:csb0="00040000" w:csb1="00000000"/>
  </w:font>
  <w:font w:name="Garamond">
    <w:altName w:val="Segoe Print"/>
    <w:panose1 w:val="02020404030301010803"/>
    <w:charset w:val="00"/>
    <w:family w:val="roman"/>
    <w:pitch w:val="default"/>
    <w:sig w:usb0="00000287"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wrap="none" lIns="0" tIns="0" rIns="0" bIns="0" upright="0">
                      <a:spAutoFit/>
                    </wps:bodyPr>
                  </wps:wsp>
                </a:graphicData>
              </a:graphic>
            </wp:anchor>
          </w:drawing>
        </mc:Choice>
        <mc:Fallback>
          <w:pict>
            <v:shape id="文本框 307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qeoQjLAQAAnAMAAA4AAAAAAAAAAQAgAAAAHgEAAGRycy9lMm9E&#10;b2MueG1sUEsFBgAAAAAGAAYAWQEAAFs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uto"/>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0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35</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80"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jkTfb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35</w:t>
                    </w:r>
                    <w:r>
                      <w:rPr>
                        <w:rFonts w:ascii="Times New Roman"/>
                        <w:sz w:val="18"/>
                        <w:szCs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0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wps:txbx>
                    <wps:bodyPr wrap="none" lIns="0" tIns="0" rIns="0" bIns="0" upright="0">
                      <a:spAutoFit/>
                    </wps:bodyPr>
                  </wps:wsp>
                </a:graphicData>
              </a:graphic>
            </wp:anchor>
          </w:drawing>
        </mc:Choice>
        <mc:Fallback>
          <w:pict>
            <v:shape id="文本框 307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YN0eXLAQAAnAMAAA4AAAAAAAAAAQAgAAAAHgEAAGRycy9lMm9E&#10;b2MueG1sUEsFBgAAAAAGAAYAWQEAAFsFAAAAAA==&#10;">
              <v:fill on="f" focussize="0,0"/>
              <v:stroke on="f"/>
              <v:imagedata o:title=""/>
              <o:lock v:ext="edit" aspectratio="f"/>
              <v:textbox inset="0mm,0mm,0mm,0mm" style="mso-fit-shape-to-text:t;">
                <w:txbxContent>
                  <w:p>
                    <w:pPr>
                      <w:pStyle w:val="2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- 0 -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0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jc w:val="center"/>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S+GQn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jc w:val="center"/>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3</w:t>
                    </w:r>
                    <w:r>
                      <w:rPr>
                        <w:rFonts w:ascii="Times New Roman"/>
                        <w:sz w:val="18"/>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jc w:val="center"/>
                            <w:rPr>
                              <w:rStyle w:val="49"/>
                              <w:rFonts w:hint="eastAsia" w:ascii="Times New Roman"/>
                              <w:sz w:val="18"/>
                              <w:szCs w:val="18"/>
                            </w:rPr>
                          </w:pPr>
                          <w:r>
                            <w:fldChar w:fldCharType="begin"/>
                          </w:r>
                          <w:r>
                            <w:rPr>
                              <w:rStyle w:val="49"/>
                            </w:rPr>
                            <w:instrText xml:space="preserve">PAGE  </w:instrText>
                          </w:r>
                          <w:r>
                            <w:fldChar w:fldCharType="separate"/>
                          </w:r>
                          <w:r>
                            <w:rPr>
                              <w:rStyle w:val="49"/>
                            </w:rPr>
                            <w:t>5</w:t>
                          </w:r>
                          <w:r>
                            <w:fldChar w:fldCharType="end"/>
                          </w:r>
                        </w:p>
                      </w:txbxContent>
                    </wps:txbx>
                    <wps:bodyPr wrap="none" lIns="0" tIns="0" rIns="0" bIns="0" upright="0">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w5JInLAQAAnAMAAA4AAAAAAAAAAQAgAAAAHgEAAGRycy9lMm9E&#10;b2MueG1sUEsFBgAAAAAGAAYAWQEAAFsFAAAAAA==&#10;">
              <v:fill on="f" focussize="0,0"/>
              <v:stroke on="f"/>
              <v:imagedata o:title=""/>
              <o:lock v:ext="edit" aspectratio="f"/>
              <v:textbox inset="0mm,0mm,0mm,0mm" style="mso-fit-shape-to-text:t;">
                <w:txbxContent>
                  <w:p>
                    <w:pPr>
                      <w:pStyle w:val="29"/>
                      <w:jc w:val="center"/>
                      <w:rPr>
                        <w:rStyle w:val="49"/>
                        <w:rFonts w:hint="eastAsia" w:ascii="Times New Roman"/>
                        <w:sz w:val="18"/>
                        <w:szCs w:val="18"/>
                      </w:rPr>
                    </w:pPr>
                    <w:r>
                      <w:fldChar w:fldCharType="begin"/>
                    </w:r>
                    <w:r>
                      <w:rPr>
                        <w:rStyle w:val="49"/>
                      </w:rPr>
                      <w:instrText xml:space="preserve">PAGE  </w:instrText>
                    </w:r>
                    <w:r>
                      <w:fldChar w:fldCharType="separate"/>
                    </w:r>
                    <w:r>
                      <w:rPr>
                        <w:rStyle w:val="49"/>
                      </w:rP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49"/>
      </w:rPr>
    </w:pPr>
    <w:r>
      <w:fldChar w:fldCharType="begin"/>
    </w:r>
    <w:r>
      <w:rPr>
        <w:rStyle w:val="49"/>
      </w:rPr>
      <w:instrText xml:space="preserve">PAGE  </w:instrText>
    </w:r>
    <w:r>
      <w:fldChar w:fldCharType="separate"/>
    </w:r>
    <w:r>
      <w:rPr>
        <w:rStyle w:val="49"/>
        <w:lang/>
      </w:rPr>
      <w:t>2</w:t>
    </w:r>
    <w:r>
      <w:fldChar w:fldCharType="end"/>
    </w:r>
  </w:p>
  <w:p>
    <w:pPr>
      <w:jc w:val="center"/>
      <w:rPr>
        <w:rStyle w:val="49"/>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18</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7"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CGjXr/LAQAAnAMAAA4AAAAAAAAAAQAgAAAAHgEAAGRycy9lMm9E&#10;b2MueG1sUEsFBgAAAAAGAAYAWQEAAFsFA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18</w:t>
                    </w:r>
                    <w:r>
                      <w:rPr>
                        <w:rFonts w:ascii="Times New Roman"/>
                        <w:sz w:val="18"/>
                        <w:szCs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30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19</w:t>
                          </w:r>
                          <w:r>
                            <w:rPr>
                              <w:rFonts w:ascii="Times New Roman"/>
                              <w:sz w:val="18"/>
                              <w:szCs w:val="18"/>
                            </w:rPr>
                            <w:fldChar w:fldCharType="end"/>
                          </w:r>
                        </w:p>
                      </w:txbxContent>
                    </wps:txbx>
                    <wps:bodyPr wrap="none" lIns="0" tIns="0" rIns="0" bIns="0" upright="0">
                      <a:spAutoFit/>
                    </wps:bodyPr>
                  </wps:wsp>
                </a:graphicData>
              </a:graphic>
            </wp:anchor>
          </w:drawing>
        </mc:Choice>
        <mc:Fallback>
          <w:pict>
            <v:shape id="文本框 307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DlGLSIzAEAAJwDAAAOAAAAAAAAAAEAIAAAAB4BAABkcnMvZTJv&#10;RG9jLnhtbFBLBQYAAAAABgAGAFkBAABcBQAAAAA=&#10;">
              <v:fill on="f" focussize="0,0"/>
              <v:stroke on="f"/>
              <v:imagedata o:title=""/>
              <o:lock v:ext="edit" aspectratio="f"/>
              <v:textbox inset="0mm,0mm,0mm,0mm" style="mso-fit-shape-to-text:t;">
                <w:txbxContent>
                  <w:p>
                    <w:pPr>
                      <w:pStyle w:val="29"/>
                      <w:spacing w:line="240" w:lineRule="auto"/>
                      <w:rPr>
                        <w:rStyle w:val="49"/>
                        <w:rFonts w:ascii="Times New Roman"/>
                        <w:sz w:val="18"/>
                        <w:szCs w:val="18"/>
                      </w:rPr>
                    </w:pPr>
                    <w:r>
                      <w:rPr>
                        <w:rFonts w:ascii="Times New Roman"/>
                        <w:sz w:val="18"/>
                        <w:szCs w:val="18"/>
                      </w:rPr>
                      <w:fldChar w:fldCharType="begin"/>
                    </w:r>
                    <w:r>
                      <w:rPr>
                        <w:rStyle w:val="49"/>
                        <w:rFonts w:ascii="Times New Roman"/>
                        <w:sz w:val="18"/>
                        <w:szCs w:val="18"/>
                      </w:rPr>
                      <w:instrText xml:space="preserve">PAGE  </w:instrText>
                    </w:r>
                    <w:r>
                      <w:rPr>
                        <w:rFonts w:ascii="Times New Roman"/>
                        <w:sz w:val="18"/>
                        <w:szCs w:val="18"/>
                      </w:rPr>
                      <w:fldChar w:fldCharType="separate"/>
                    </w:r>
                    <w:r>
                      <w:rPr>
                        <w:rStyle w:val="49"/>
                        <w:rFonts w:ascii="Times New Roman"/>
                        <w:sz w:val="18"/>
                        <w:szCs w:val="18"/>
                      </w:rPr>
                      <w:t>19</w:t>
                    </w:r>
                    <w:r>
                      <w:rPr>
                        <w:rFonts w:ascii="Times New Roman"/>
                        <w:sz w:val="18"/>
                        <w:szCs w:val="18"/>
                      </w:rPr>
                      <w:fldChar w:fldCharType="end"/>
                    </w:r>
                  </w:p>
                </w:txbxContent>
              </v:textbox>
            </v:shape>
          </w:pict>
        </mc:Fallback>
      </mc:AlternateContent>
    </w:r>
    <w:r>
      <w:fldChar w:fldCharType="begin"/>
    </w:r>
    <w:r>
      <w:rPr>
        <w:rStyle w:val="49"/>
      </w:rPr>
      <w:instrText xml:space="preserve"> PAGE </w:instrText>
    </w:r>
    <w:r>
      <w:fldChar w:fldCharType="separate"/>
    </w:r>
    <w:r>
      <w:rPr>
        <w:rStyle w:val="49"/>
        <w:lang/>
      </w:rPr>
      <w:t>19</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spacing w:line="240" w:lineRule="auto"/>
      <w:rPr>
        <w:rStyle w:val="49"/>
        <w:rFonts w:hint="eastAsia" w:ascii="Times New Roman"/>
        <w:sz w:val="18"/>
        <w:szCs w:val="18"/>
      </w:rPr>
    </w:pPr>
  </w:p>
  <w:p>
    <w:pPr>
      <w:pStyle w:val="29"/>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3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jc w:val="center"/>
                          </w:pPr>
                          <w:r>
                            <w:fldChar w:fldCharType="begin"/>
                          </w:r>
                          <w:r>
                            <w:rPr>
                              <w:rStyle w:val="49"/>
                            </w:rPr>
                            <w:instrText xml:space="preserve"> PAGE </w:instrText>
                          </w:r>
                          <w:r>
                            <w:fldChar w:fldCharType="separate"/>
                          </w:r>
                          <w:r>
                            <w:rPr>
                              <w:rStyle w:val="49"/>
                            </w:rPr>
                            <w:t>20</w:t>
                          </w:r>
                          <w:r>
                            <w:fldChar w:fldCharType="end"/>
                          </w:r>
                        </w:p>
                      </w:txbxContent>
                    </wps:txbx>
                    <wps:bodyPr wrap="none" lIns="0" tIns="0" rIns="0" bIns="0" upright="0">
                      <a:spAutoFit/>
                    </wps:bodyPr>
                  </wps:wsp>
                </a:graphicData>
              </a:graphic>
            </wp:anchor>
          </w:drawing>
        </mc:Choice>
        <mc:Fallback>
          <w:pict>
            <v:shape id="文本框 3079"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j+aQrLAQAAnAMAAA4AAAAAAAAAAQAgAAAAHgEAAGRycy9lMm9E&#10;b2MueG1sUEsFBgAAAAAGAAYAWQEAAFsFAAAAAA==&#10;">
              <v:fill on="f" focussize="0,0"/>
              <v:stroke on="f"/>
              <v:imagedata o:title=""/>
              <o:lock v:ext="edit" aspectratio="f"/>
              <v:textbox inset="0mm,0mm,0mm,0mm" style="mso-fit-shape-to-text:t;">
                <w:txbxContent>
                  <w:p>
                    <w:pPr>
                      <w:pStyle w:val="29"/>
                      <w:jc w:val="center"/>
                    </w:pPr>
                    <w:r>
                      <w:fldChar w:fldCharType="begin"/>
                    </w:r>
                    <w:r>
                      <w:rPr>
                        <w:rStyle w:val="49"/>
                      </w:rPr>
                      <w:instrText xml:space="preserve"> PAGE </w:instrText>
                    </w:r>
                    <w:r>
                      <w:fldChar w:fldCharType="separate"/>
                    </w:r>
                    <w:r>
                      <w:rPr>
                        <w:rStyle w:val="49"/>
                      </w:rPr>
                      <w:t>20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rPr>
        <w:sz w:val="17"/>
        <w:szCs w:val="17"/>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8351B8"/>
    <w:multiLevelType w:val="singleLevel"/>
    <w:tmpl w:val="C88351B8"/>
    <w:lvl w:ilvl="0" w:tentative="0">
      <w:start w:val="1"/>
      <w:numFmt w:val="chineseCounting"/>
      <w:suff w:val="space"/>
      <w:lvlText w:val="第%1章"/>
      <w:lvlJc w:val="left"/>
      <w:rPr>
        <w:rFonts w:hint="eastAsia"/>
      </w:rPr>
    </w:lvl>
  </w:abstractNum>
  <w:abstractNum w:abstractNumId="1">
    <w:nsid w:val="00000004"/>
    <w:multiLevelType w:val="multilevel"/>
    <w:tmpl w:val="000000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C"/>
    <w:multiLevelType w:val="multilevel"/>
    <w:tmpl w:val="0000000C"/>
    <w:lvl w:ilvl="0" w:tentative="0">
      <w:start w:val="1"/>
      <w:numFmt w:val="decimal"/>
      <w:lvlText w:val="%1."/>
      <w:lvlJc w:val="left"/>
      <w:pPr>
        <w:tabs>
          <w:tab w:val="left" w:pos="720"/>
        </w:tabs>
        <w:ind w:left="720" w:hanging="720"/>
      </w:pPr>
      <w:rPr>
        <w:rFonts w:hint="eastAsia"/>
        <w:color w:val="auto"/>
        <w:lang w:val="en-US"/>
      </w:rPr>
    </w:lvl>
    <w:lvl w:ilvl="1" w:tentative="0">
      <w:start w:val="7"/>
      <w:numFmt w:val="decimal"/>
      <w:lvlText w:val="（%2）"/>
      <w:lvlJc w:val="left"/>
      <w:pPr>
        <w:tabs>
          <w:tab w:val="left" w:pos="1320"/>
        </w:tabs>
        <w:ind w:left="1320" w:hanging="720"/>
      </w:pPr>
      <w:rPr>
        <w:rFonts w:hint="default" w:ascii="宋体" w:hAnsi="宋体"/>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3">
    <w:nsid w:val="0000001C"/>
    <w:multiLevelType w:val="multilevel"/>
    <w:tmpl w:val="0000001C"/>
    <w:lvl w:ilvl="0" w:tentative="0">
      <w:start w:val="1"/>
      <w:numFmt w:val="decimal"/>
      <w:pStyle w:val="123"/>
      <w:lvlText w:val="（%1）"/>
      <w:lvlJc w:val="left"/>
      <w:pPr>
        <w:tabs>
          <w:tab w:val="left" w:pos="900"/>
        </w:tabs>
        <w:ind w:left="900" w:hanging="720"/>
      </w:pPr>
      <w:rPr>
        <w:rFonts w:hint="eastAsia"/>
        <w:lang w:val="en-US"/>
      </w:rPr>
    </w:lvl>
    <w:lvl w:ilvl="1" w:tentative="0">
      <w:start w:val="7"/>
      <w:numFmt w:val="decimal"/>
      <w:pStyle w:val="135"/>
      <w:lvlText w:val="（%2）"/>
      <w:lvlJc w:val="left"/>
      <w:pPr>
        <w:tabs>
          <w:tab w:val="left" w:pos="1320"/>
        </w:tabs>
        <w:ind w:left="1320" w:hanging="720"/>
      </w:pPr>
      <w:rPr>
        <w:rFonts w:hint="default" w:ascii="宋体" w:hAnsi="宋体"/>
      </w:rPr>
    </w:lvl>
    <w:lvl w:ilvl="2" w:tentative="0">
      <w:start w:val="1"/>
      <w:numFmt w:val="lowerRoman"/>
      <w:lvlText w:val="%3."/>
      <w:lvlJc w:val="right"/>
      <w:pPr>
        <w:tabs>
          <w:tab w:val="left" w:pos="1440"/>
        </w:tabs>
        <w:ind w:left="1440" w:hanging="420"/>
      </w:pPr>
    </w:lvl>
    <w:lvl w:ilvl="3" w:tentative="0">
      <w:start w:val="1"/>
      <w:numFmt w:val="decimal"/>
      <w:lvlText w:val="%4."/>
      <w:lvlJc w:val="left"/>
      <w:pPr>
        <w:tabs>
          <w:tab w:val="left" w:pos="1860"/>
        </w:tabs>
        <w:ind w:left="1860" w:hanging="420"/>
      </w:pPr>
    </w:lvl>
    <w:lvl w:ilvl="4" w:tentative="0">
      <w:start w:val="1"/>
      <w:numFmt w:val="lowerLetter"/>
      <w:lvlText w:val="%5)"/>
      <w:lvlJc w:val="left"/>
      <w:pPr>
        <w:tabs>
          <w:tab w:val="left" w:pos="2280"/>
        </w:tabs>
        <w:ind w:left="2280" w:hanging="420"/>
      </w:pPr>
    </w:lvl>
    <w:lvl w:ilvl="5" w:tentative="0">
      <w:start w:val="1"/>
      <w:numFmt w:val="lowerRoman"/>
      <w:lvlText w:val="%6."/>
      <w:lvlJc w:val="right"/>
      <w:pPr>
        <w:tabs>
          <w:tab w:val="left" w:pos="2700"/>
        </w:tabs>
        <w:ind w:left="2700" w:hanging="420"/>
      </w:pPr>
    </w:lvl>
    <w:lvl w:ilvl="6" w:tentative="0">
      <w:start w:val="1"/>
      <w:numFmt w:val="decimal"/>
      <w:lvlText w:val="%7."/>
      <w:lvlJc w:val="left"/>
      <w:pPr>
        <w:tabs>
          <w:tab w:val="left" w:pos="3120"/>
        </w:tabs>
        <w:ind w:left="3120" w:hanging="420"/>
      </w:pPr>
    </w:lvl>
    <w:lvl w:ilvl="7" w:tentative="0">
      <w:start w:val="1"/>
      <w:numFmt w:val="lowerLetter"/>
      <w:lvlText w:val="%8)"/>
      <w:lvlJc w:val="left"/>
      <w:pPr>
        <w:tabs>
          <w:tab w:val="left" w:pos="3540"/>
        </w:tabs>
        <w:ind w:left="3540" w:hanging="420"/>
      </w:pPr>
    </w:lvl>
    <w:lvl w:ilvl="8" w:tentative="0">
      <w:start w:val="1"/>
      <w:numFmt w:val="lowerRoman"/>
      <w:lvlText w:val="%9."/>
      <w:lvlJc w:val="right"/>
      <w:pPr>
        <w:tabs>
          <w:tab w:val="left" w:pos="3960"/>
        </w:tabs>
        <w:ind w:left="3960" w:hanging="420"/>
      </w:pPr>
    </w:lvl>
  </w:abstractNum>
  <w:abstractNum w:abstractNumId="4">
    <w:nsid w:val="00000028"/>
    <w:multiLevelType w:val="multilevel"/>
    <w:tmpl w:val="00000028"/>
    <w:lvl w:ilvl="0" w:tentative="0">
      <w:start w:val="4"/>
      <w:numFmt w:val="japaneseCounting"/>
      <w:lvlText w:val="第%1章"/>
      <w:lvlJc w:val="left"/>
      <w:pPr>
        <w:tabs>
          <w:tab w:val="left" w:pos="1290"/>
        </w:tabs>
        <w:ind w:left="1290" w:hanging="129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69D63ED"/>
    <w:multiLevelType w:val="multilevel"/>
    <w:tmpl w:val="069D63E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AA146C4"/>
    <w:multiLevelType w:val="singleLevel"/>
    <w:tmpl w:val="1AA146C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1,3,4,5"/>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53"/>
    <w:rsid w:val="0000057A"/>
    <w:rsid w:val="00002FCE"/>
    <w:rsid w:val="00010B8D"/>
    <w:rsid w:val="00012A23"/>
    <w:rsid w:val="00012FD8"/>
    <w:rsid w:val="00020F80"/>
    <w:rsid w:val="00020FC1"/>
    <w:rsid w:val="0002208B"/>
    <w:rsid w:val="000220DA"/>
    <w:rsid w:val="000229BD"/>
    <w:rsid w:val="00023473"/>
    <w:rsid w:val="0002435C"/>
    <w:rsid w:val="00025988"/>
    <w:rsid w:val="00026732"/>
    <w:rsid w:val="0002713B"/>
    <w:rsid w:val="00027865"/>
    <w:rsid w:val="00027FE0"/>
    <w:rsid w:val="0003177D"/>
    <w:rsid w:val="00031D20"/>
    <w:rsid w:val="000326DB"/>
    <w:rsid w:val="0003331F"/>
    <w:rsid w:val="0003364D"/>
    <w:rsid w:val="0003540B"/>
    <w:rsid w:val="00036726"/>
    <w:rsid w:val="00042998"/>
    <w:rsid w:val="000430B1"/>
    <w:rsid w:val="00044E86"/>
    <w:rsid w:val="000452C5"/>
    <w:rsid w:val="0004698E"/>
    <w:rsid w:val="00047714"/>
    <w:rsid w:val="000504B6"/>
    <w:rsid w:val="00050874"/>
    <w:rsid w:val="00051120"/>
    <w:rsid w:val="00052675"/>
    <w:rsid w:val="0005556C"/>
    <w:rsid w:val="00056360"/>
    <w:rsid w:val="000564F0"/>
    <w:rsid w:val="0005718B"/>
    <w:rsid w:val="0006108E"/>
    <w:rsid w:val="000611AD"/>
    <w:rsid w:val="000631DA"/>
    <w:rsid w:val="00064865"/>
    <w:rsid w:val="000655C4"/>
    <w:rsid w:val="000663A1"/>
    <w:rsid w:val="000709EA"/>
    <w:rsid w:val="00071867"/>
    <w:rsid w:val="00076770"/>
    <w:rsid w:val="000775AD"/>
    <w:rsid w:val="00077E08"/>
    <w:rsid w:val="00080807"/>
    <w:rsid w:val="00081ABC"/>
    <w:rsid w:val="00082362"/>
    <w:rsid w:val="00083AB2"/>
    <w:rsid w:val="00085E44"/>
    <w:rsid w:val="00087CC6"/>
    <w:rsid w:val="00090F1E"/>
    <w:rsid w:val="000918FA"/>
    <w:rsid w:val="00093C5F"/>
    <w:rsid w:val="000959F2"/>
    <w:rsid w:val="00096173"/>
    <w:rsid w:val="000A3C44"/>
    <w:rsid w:val="000A5CDC"/>
    <w:rsid w:val="000A759C"/>
    <w:rsid w:val="000B2B24"/>
    <w:rsid w:val="000B31C8"/>
    <w:rsid w:val="000B4DF3"/>
    <w:rsid w:val="000B636A"/>
    <w:rsid w:val="000B69CB"/>
    <w:rsid w:val="000B7862"/>
    <w:rsid w:val="000B7E88"/>
    <w:rsid w:val="000B7F38"/>
    <w:rsid w:val="000C0CC6"/>
    <w:rsid w:val="000C2DF6"/>
    <w:rsid w:val="000C31DA"/>
    <w:rsid w:val="000C4716"/>
    <w:rsid w:val="000C4DE6"/>
    <w:rsid w:val="000C5469"/>
    <w:rsid w:val="000C65F8"/>
    <w:rsid w:val="000C701E"/>
    <w:rsid w:val="000D06DB"/>
    <w:rsid w:val="000D3E69"/>
    <w:rsid w:val="000D6CEF"/>
    <w:rsid w:val="000E1C5F"/>
    <w:rsid w:val="000E3816"/>
    <w:rsid w:val="000E4665"/>
    <w:rsid w:val="000E579E"/>
    <w:rsid w:val="000E61FB"/>
    <w:rsid w:val="000E68D6"/>
    <w:rsid w:val="000E7908"/>
    <w:rsid w:val="000F0E15"/>
    <w:rsid w:val="000F1355"/>
    <w:rsid w:val="000F380D"/>
    <w:rsid w:val="00102465"/>
    <w:rsid w:val="00102558"/>
    <w:rsid w:val="00106662"/>
    <w:rsid w:val="00106F11"/>
    <w:rsid w:val="00110AEB"/>
    <w:rsid w:val="00111D41"/>
    <w:rsid w:val="001132C3"/>
    <w:rsid w:val="00117397"/>
    <w:rsid w:val="00117F5E"/>
    <w:rsid w:val="00120161"/>
    <w:rsid w:val="00120436"/>
    <w:rsid w:val="00121C3F"/>
    <w:rsid w:val="001247A2"/>
    <w:rsid w:val="00126F10"/>
    <w:rsid w:val="001308EA"/>
    <w:rsid w:val="00132350"/>
    <w:rsid w:val="0013500E"/>
    <w:rsid w:val="00136709"/>
    <w:rsid w:val="00137BC9"/>
    <w:rsid w:val="0014008B"/>
    <w:rsid w:val="00142CA1"/>
    <w:rsid w:val="0014695F"/>
    <w:rsid w:val="00150FCF"/>
    <w:rsid w:val="00152121"/>
    <w:rsid w:val="0015327E"/>
    <w:rsid w:val="00154432"/>
    <w:rsid w:val="00154767"/>
    <w:rsid w:val="001548C0"/>
    <w:rsid w:val="00155275"/>
    <w:rsid w:val="00155E7C"/>
    <w:rsid w:val="00156DEC"/>
    <w:rsid w:val="00157637"/>
    <w:rsid w:val="00157E17"/>
    <w:rsid w:val="00157EC3"/>
    <w:rsid w:val="00161070"/>
    <w:rsid w:val="00161E9F"/>
    <w:rsid w:val="00163C29"/>
    <w:rsid w:val="00164807"/>
    <w:rsid w:val="001672CD"/>
    <w:rsid w:val="001702E2"/>
    <w:rsid w:val="00171477"/>
    <w:rsid w:val="001736C6"/>
    <w:rsid w:val="001740AD"/>
    <w:rsid w:val="00174200"/>
    <w:rsid w:val="00180606"/>
    <w:rsid w:val="00181008"/>
    <w:rsid w:val="0018117F"/>
    <w:rsid w:val="0018317D"/>
    <w:rsid w:val="0018367E"/>
    <w:rsid w:val="00184044"/>
    <w:rsid w:val="00184CAB"/>
    <w:rsid w:val="001867F2"/>
    <w:rsid w:val="0018720D"/>
    <w:rsid w:val="001902C5"/>
    <w:rsid w:val="0019228C"/>
    <w:rsid w:val="001954F9"/>
    <w:rsid w:val="001972E8"/>
    <w:rsid w:val="001A0CCE"/>
    <w:rsid w:val="001A0F1E"/>
    <w:rsid w:val="001A2C92"/>
    <w:rsid w:val="001A393C"/>
    <w:rsid w:val="001A4C67"/>
    <w:rsid w:val="001A5682"/>
    <w:rsid w:val="001A6BA2"/>
    <w:rsid w:val="001A7B84"/>
    <w:rsid w:val="001B01FC"/>
    <w:rsid w:val="001B0787"/>
    <w:rsid w:val="001B2D14"/>
    <w:rsid w:val="001B4A38"/>
    <w:rsid w:val="001B66D7"/>
    <w:rsid w:val="001C43BC"/>
    <w:rsid w:val="001C5F32"/>
    <w:rsid w:val="001D29DD"/>
    <w:rsid w:val="001D46B0"/>
    <w:rsid w:val="001D725C"/>
    <w:rsid w:val="001E0357"/>
    <w:rsid w:val="001E11BE"/>
    <w:rsid w:val="001E1CB4"/>
    <w:rsid w:val="001E201A"/>
    <w:rsid w:val="001E37A7"/>
    <w:rsid w:val="001E4BD8"/>
    <w:rsid w:val="001E5BBF"/>
    <w:rsid w:val="001F3406"/>
    <w:rsid w:val="001F384B"/>
    <w:rsid w:val="001F4F37"/>
    <w:rsid w:val="0020345C"/>
    <w:rsid w:val="00204195"/>
    <w:rsid w:val="002046D9"/>
    <w:rsid w:val="00205BB9"/>
    <w:rsid w:val="00206FB1"/>
    <w:rsid w:val="00207162"/>
    <w:rsid w:val="00207B19"/>
    <w:rsid w:val="00210C9A"/>
    <w:rsid w:val="00216193"/>
    <w:rsid w:val="002166CB"/>
    <w:rsid w:val="00217354"/>
    <w:rsid w:val="0022237E"/>
    <w:rsid w:val="00222FE9"/>
    <w:rsid w:val="0022426A"/>
    <w:rsid w:val="00224847"/>
    <w:rsid w:val="002260D7"/>
    <w:rsid w:val="00231EE9"/>
    <w:rsid w:val="002347CA"/>
    <w:rsid w:val="00234E66"/>
    <w:rsid w:val="002355C1"/>
    <w:rsid w:val="00241C5D"/>
    <w:rsid w:val="00242264"/>
    <w:rsid w:val="00242A48"/>
    <w:rsid w:val="002457E2"/>
    <w:rsid w:val="00245D29"/>
    <w:rsid w:val="00245D58"/>
    <w:rsid w:val="002465AB"/>
    <w:rsid w:val="00251C05"/>
    <w:rsid w:val="0025281E"/>
    <w:rsid w:val="00260380"/>
    <w:rsid w:val="002619E1"/>
    <w:rsid w:val="00261D2D"/>
    <w:rsid w:val="00263B2B"/>
    <w:rsid w:val="00263B58"/>
    <w:rsid w:val="00264219"/>
    <w:rsid w:val="00264B8B"/>
    <w:rsid w:val="002671B5"/>
    <w:rsid w:val="00270001"/>
    <w:rsid w:val="00271CC0"/>
    <w:rsid w:val="002744C1"/>
    <w:rsid w:val="002759E0"/>
    <w:rsid w:val="00275ADE"/>
    <w:rsid w:val="00276DF2"/>
    <w:rsid w:val="002811AB"/>
    <w:rsid w:val="00282F06"/>
    <w:rsid w:val="0028342F"/>
    <w:rsid w:val="00284186"/>
    <w:rsid w:val="00284701"/>
    <w:rsid w:val="00285522"/>
    <w:rsid w:val="00285584"/>
    <w:rsid w:val="00286D8C"/>
    <w:rsid w:val="00287634"/>
    <w:rsid w:val="002876AE"/>
    <w:rsid w:val="002877FA"/>
    <w:rsid w:val="0028782D"/>
    <w:rsid w:val="00290EC5"/>
    <w:rsid w:val="00291BC4"/>
    <w:rsid w:val="00292699"/>
    <w:rsid w:val="00293637"/>
    <w:rsid w:val="002957FF"/>
    <w:rsid w:val="00297C33"/>
    <w:rsid w:val="002A22E3"/>
    <w:rsid w:val="002A2893"/>
    <w:rsid w:val="002B1C1E"/>
    <w:rsid w:val="002B2D6E"/>
    <w:rsid w:val="002B2DCC"/>
    <w:rsid w:val="002B35F0"/>
    <w:rsid w:val="002B559F"/>
    <w:rsid w:val="002B7489"/>
    <w:rsid w:val="002B76AA"/>
    <w:rsid w:val="002C23D3"/>
    <w:rsid w:val="002C4EF3"/>
    <w:rsid w:val="002C4F4C"/>
    <w:rsid w:val="002C6CDF"/>
    <w:rsid w:val="002C71C5"/>
    <w:rsid w:val="002C795D"/>
    <w:rsid w:val="002D01B2"/>
    <w:rsid w:val="002D0F9E"/>
    <w:rsid w:val="002D1331"/>
    <w:rsid w:val="002D20C8"/>
    <w:rsid w:val="002D4F8C"/>
    <w:rsid w:val="002D77E7"/>
    <w:rsid w:val="002E01E0"/>
    <w:rsid w:val="002E11BF"/>
    <w:rsid w:val="002E2058"/>
    <w:rsid w:val="002E4558"/>
    <w:rsid w:val="002E6D71"/>
    <w:rsid w:val="002F0A50"/>
    <w:rsid w:val="002F1C33"/>
    <w:rsid w:val="002F3554"/>
    <w:rsid w:val="002F440B"/>
    <w:rsid w:val="002F458A"/>
    <w:rsid w:val="002F4DA9"/>
    <w:rsid w:val="002F62B2"/>
    <w:rsid w:val="002F7272"/>
    <w:rsid w:val="002F76CB"/>
    <w:rsid w:val="002F7F7B"/>
    <w:rsid w:val="003020E9"/>
    <w:rsid w:val="00302C14"/>
    <w:rsid w:val="00303443"/>
    <w:rsid w:val="0030412F"/>
    <w:rsid w:val="003123AA"/>
    <w:rsid w:val="0031252C"/>
    <w:rsid w:val="0031380E"/>
    <w:rsid w:val="003144D3"/>
    <w:rsid w:val="00316E26"/>
    <w:rsid w:val="0031797C"/>
    <w:rsid w:val="00320347"/>
    <w:rsid w:val="00323412"/>
    <w:rsid w:val="00323B46"/>
    <w:rsid w:val="00331119"/>
    <w:rsid w:val="003335FC"/>
    <w:rsid w:val="00334C3D"/>
    <w:rsid w:val="00335610"/>
    <w:rsid w:val="003369FC"/>
    <w:rsid w:val="003408EB"/>
    <w:rsid w:val="0034363A"/>
    <w:rsid w:val="00350477"/>
    <w:rsid w:val="003513E9"/>
    <w:rsid w:val="003546D5"/>
    <w:rsid w:val="0035637E"/>
    <w:rsid w:val="003573AE"/>
    <w:rsid w:val="00360346"/>
    <w:rsid w:val="003641CB"/>
    <w:rsid w:val="00366C7F"/>
    <w:rsid w:val="00370E51"/>
    <w:rsid w:val="003715D6"/>
    <w:rsid w:val="00371711"/>
    <w:rsid w:val="00373F5D"/>
    <w:rsid w:val="0037535A"/>
    <w:rsid w:val="003766DD"/>
    <w:rsid w:val="00380E20"/>
    <w:rsid w:val="00381070"/>
    <w:rsid w:val="00381641"/>
    <w:rsid w:val="00381ACC"/>
    <w:rsid w:val="00381D1A"/>
    <w:rsid w:val="00382509"/>
    <w:rsid w:val="003844F8"/>
    <w:rsid w:val="00385A63"/>
    <w:rsid w:val="00386EA7"/>
    <w:rsid w:val="00390D18"/>
    <w:rsid w:val="00391390"/>
    <w:rsid w:val="003935CB"/>
    <w:rsid w:val="0039674D"/>
    <w:rsid w:val="003A0E2A"/>
    <w:rsid w:val="003A16D0"/>
    <w:rsid w:val="003A1F4E"/>
    <w:rsid w:val="003A56EA"/>
    <w:rsid w:val="003A58D8"/>
    <w:rsid w:val="003B057A"/>
    <w:rsid w:val="003B0749"/>
    <w:rsid w:val="003B320F"/>
    <w:rsid w:val="003B75A1"/>
    <w:rsid w:val="003B76F4"/>
    <w:rsid w:val="003B7F99"/>
    <w:rsid w:val="003C10AB"/>
    <w:rsid w:val="003C4056"/>
    <w:rsid w:val="003C48E1"/>
    <w:rsid w:val="003C70A6"/>
    <w:rsid w:val="003D2AE4"/>
    <w:rsid w:val="003D2C65"/>
    <w:rsid w:val="003D3515"/>
    <w:rsid w:val="003D398A"/>
    <w:rsid w:val="003D5A9E"/>
    <w:rsid w:val="003D7749"/>
    <w:rsid w:val="003E135C"/>
    <w:rsid w:val="003E1D9D"/>
    <w:rsid w:val="003E335C"/>
    <w:rsid w:val="003E341F"/>
    <w:rsid w:val="003E51AE"/>
    <w:rsid w:val="003E57EE"/>
    <w:rsid w:val="003E75B7"/>
    <w:rsid w:val="003F286C"/>
    <w:rsid w:val="003F2D97"/>
    <w:rsid w:val="003F3255"/>
    <w:rsid w:val="003F4C80"/>
    <w:rsid w:val="003F6229"/>
    <w:rsid w:val="00400E79"/>
    <w:rsid w:val="00401A52"/>
    <w:rsid w:val="004055E2"/>
    <w:rsid w:val="004059EB"/>
    <w:rsid w:val="004061F5"/>
    <w:rsid w:val="00414D80"/>
    <w:rsid w:val="00417EF0"/>
    <w:rsid w:val="0042002A"/>
    <w:rsid w:val="004221E0"/>
    <w:rsid w:val="00422C16"/>
    <w:rsid w:val="004230E3"/>
    <w:rsid w:val="004233E4"/>
    <w:rsid w:val="00425378"/>
    <w:rsid w:val="00425D83"/>
    <w:rsid w:val="00425E9E"/>
    <w:rsid w:val="00427D1C"/>
    <w:rsid w:val="00432953"/>
    <w:rsid w:val="004351E0"/>
    <w:rsid w:val="00436445"/>
    <w:rsid w:val="004408BA"/>
    <w:rsid w:val="00440B50"/>
    <w:rsid w:val="00445AC6"/>
    <w:rsid w:val="00450DC6"/>
    <w:rsid w:val="00450E83"/>
    <w:rsid w:val="00457006"/>
    <w:rsid w:val="0046021A"/>
    <w:rsid w:val="00465836"/>
    <w:rsid w:val="0046636F"/>
    <w:rsid w:val="00466CB9"/>
    <w:rsid w:val="00467EE3"/>
    <w:rsid w:val="0047306F"/>
    <w:rsid w:val="00475166"/>
    <w:rsid w:val="00477269"/>
    <w:rsid w:val="00481A8B"/>
    <w:rsid w:val="00482AB5"/>
    <w:rsid w:val="00483795"/>
    <w:rsid w:val="00484BD6"/>
    <w:rsid w:val="00484CA5"/>
    <w:rsid w:val="0048535E"/>
    <w:rsid w:val="004878BA"/>
    <w:rsid w:val="00491A6C"/>
    <w:rsid w:val="00492105"/>
    <w:rsid w:val="0049228D"/>
    <w:rsid w:val="00492356"/>
    <w:rsid w:val="004928B5"/>
    <w:rsid w:val="004945A1"/>
    <w:rsid w:val="00496977"/>
    <w:rsid w:val="00497180"/>
    <w:rsid w:val="00497FB9"/>
    <w:rsid w:val="004A1C4D"/>
    <w:rsid w:val="004A435B"/>
    <w:rsid w:val="004A7E87"/>
    <w:rsid w:val="004B0E38"/>
    <w:rsid w:val="004B17B5"/>
    <w:rsid w:val="004B443A"/>
    <w:rsid w:val="004B496F"/>
    <w:rsid w:val="004B572B"/>
    <w:rsid w:val="004B5DE5"/>
    <w:rsid w:val="004B61F2"/>
    <w:rsid w:val="004C0A33"/>
    <w:rsid w:val="004C1E6B"/>
    <w:rsid w:val="004C5E3B"/>
    <w:rsid w:val="004D2C3D"/>
    <w:rsid w:val="004D3426"/>
    <w:rsid w:val="004D4510"/>
    <w:rsid w:val="004D5637"/>
    <w:rsid w:val="004D67C8"/>
    <w:rsid w:val="004D7A46"/>
    <w:rsid w:val="004D7A4A"/>
    <w:rsid w:val="004E6DFF"/>
    <w:rsid w:val="004E7E84"/>
    <w:rsid w:val="004F161E"/>
    <w:rsid w:val="004F4ED8"/>
    <w:rsid w:val="004F6ECF"/>
    <w:rsid w:val="00504EF4"/>
    <w:rsid w:val="00506330"/>
    <w:rsid w:val="00507D58"/>
    <w:rsid w:val="00513F12"/>
    <w:rsid w:val="00517770"/>
    <w:rsid w:val="00517A51"/>
    <w:rsid w:val="00520349"/>
    <w:rsid w:val="00520784"/>
    <w:rsid w:val="005223D5"/>
    <w:rsid w:val="005228DC"/>
    <w:rsid w:val="005234E4"/>
    <w:rsid w:val="00523D6F"/>
    <w:rsid w:val="00523E6D"/>
    <w:rsid w:val="00526EAB"/>
    <w:rsid w:val="0052727C"/>
    <w:rsid w:val="005277BD"/>
    <w:rsid w:val="00530D18"/>
    <w:rsid w:val="005318FB"/>
    <w:rsid w:val="00531BDC"/>
    <w:rsid w:val="005323A7"/>
    <w:rsid w:val="005327DB"/>
    <w:rsid w:val="00533B23"/>
    <w:rsid w:val="00533C38"/>
    <w:rsid w:val="00535E17"/>
    <w:rsid w:val="0053666B"/>
    <w:rsid w:val="005378B7"/>
    <w:rsid w:val="00540D63"/>
    <w:rsid w:val="00541932"/>
    <w:rsid w:val="00543CB9"/>
    <w:rsid w:val="00544FE1"/>
    <w:rsid w:val="00546EF9"/>
    <w:rsid w:val="0054715B"/>
    <w:rsid w:val="0055183D"/>
    <w:rsid w:val="00552CCC"/>
    <w:rsid w:val="00554303"/>
    <w:rsid w:val="00556BD2"/>
    <w:rsid w:val="00557227"/>
    <w:rsid w:val="00560B36"/>
    <w:rsid w:val="005625CA"/>
    <w:rsid w:val="00565100"/>
    <w:rsid w:val="00566772"/>
    <w:rsid w:val="005669F3"/>
    <w:rsid w:val="00566FC5"/>
    <w:rsid w:val="0056762C"/>
    <w:rsid w:val="0057540B"/>
    <w:rsid w:val="00577CE8"/>
    <w:rsid w:val="00580B7B"/>
    <w:rsid w:val="00580CCF"/>
    <w:rsid w:val="00582B5D"/>
    <w:rsid w:val="0058458C"/>
    <w:rsid w:val="005857C7"/>
    <w:rsid w:val="00586B54"/>
    <w:rsid w:val="00586BD4"/>
    <w:rsid w:val="00591630"/>
    <w:rsid w:val="00593707"/>
    <w:rsid w:val="0059426E"/>
    <w:rsid w:val="0059456B"/>
    <w:rsid w:val="00594A10"/>
    <w:rsid w:val="00595788"/>
    <w:rsid w:val="00596773"/>
    <w:rsid w:val="00596A33"/>
    <w:rsid w:val="005A2794"/>
    <w:rsid w:val="005A27C0"/>
    <w:rsid w:val="005A2A83"/>
    <w:rsid w:val="005A2E33"/>
    <w:rsid w:val="005A2F70"/>
    <w:rsid w:val="005A41A1"/>
    <w:rsid w:val="005A6A86"/>
    <w:rsid w:val="005A7DE4"/>
    <w:rsid w:val="005B0682"/>
    <w:rsid w:val="005B1197"/>
    <w:rsid w:val="005B2172"/>
    <w:rsid w:val="005B730E"/>
    <w:rsid w:val="005C0EE9"/>
    <w:rsid w:val="005C1097"/>
    <w:rsid w:val="005C11FA"/>
    <w:rsid w:val="005C18E1"/>
    <w:rsid w:val="005C3568"/>
    <w:rsid w:val="005D1C7D"/>
    <w:rsid w:val="005D21BE"/>
    <w:rsid w:val="005D23F9"/>
    <w:rsid w:val="005D247E"/>
    <w:rsid w:val="005D2F3F"/>
    <w:rsid w:val="005D3095"/>
    <w:rsid w:val="005D47B1"/>
    <w:rsid w:val="005D5E68"/>
    <w:rsid w:val="005D62D3"/>
    <w:rsid w:val="005D6ED0"/>
    <w:rsid w:val="005E01CB"/>
    <w:rsid w:val="005E069B"/>
    <w:rsid w:val="005E3BDB"/>
    <w:rsid w:val="005E618C"/>
    <w:rsid w:val="005E7165"/>
    <w:rsid w:val="005E756D"/>
    <w:rsid w:val="005F0AF7"/>
    <w:rsid w:val="005F1AA2"/>
    <w:rsid w:val="005F3EBE"/>
    <w:rsid w:val="005F5326"/>
    <w:rsid w:val="005F566D"/>
    <w:rsid w:val="005F5E8C"/>
    <w:rsid w:val="005F632C"/>
    <w:rsid w:val="005F6F21"/>
    <w:rsid w:val="005F77D2"/>
    <w:rsid w:val="0060016C"/>
    <w:rsid w:val="006011D0"/>
    <w:rsid w:val="00603079"/>
    <w:rsid w:val="006046B3"/>
    <w:rsid w:val="0060754E"/>
    <w:rsid w:val="006077B9"/>
    <w:rsid w:val="006133CF"/>
    <w:rsid w:val="00614075"/>
    <w:rsid w:val="00614088"/>
    <w:rsid w:val="00614251"/>
    <w:rsid w:val="00615513"/>
    <w:rsid w:val="0061599B"/>
    <w:rsid w:val="006177F1"/>
    <w:rsid w:val="00617E3C"/>
    <w:rsid w:val="00630CEA"/>
    <w:rsid w:val="00632C29"/>
    <w:rsid w:val="00633088"/>
    <w:rsid w:val="006338AE"/>
    <w:rsid w:val="00635A4D"/>
    <w:rsid w:val="00636C82"/>
    <w:rsid w:val="00636EC7"/>
    <w:rsid w:val="00637118"/>
    <w:rsid w:val="006371E7"/>
    <w:rsid w:val="006374EA"/>
    <w:rsid w:val="00640D6C"/>
    <w:rsid w:val="00640E10"/>
    <w:rsid w:val="00645832"/>
    <w:rsid w:val="00646071"/>
    <w:rsid w:val="0064623A"/>
    <w:rsid w:val="0064673E"/>
    <w:rsid w:val="00646E6B"/>
    <w:rsid w:val="006517F9"/>
    <w:rsid w:val="00653A67"/>
    <w:rsid w:val="00654305"/>
    <w:rsid w:val="00655A39"/>
    <w:rsid w:val="0065646F"/>
    <w:rsid w:val="006577E6"/>
    <w:rsid w:val="006602B4"/>
    <w:rsid w:val="00660DC3"/>
    <w:rsid w:val="00666C88"/>
    <w:rsid w:val="006708FD"/>
    <w:rsid w:val="00670AD6"/>
    <w:rsid w:val="00670D00"/>
    <w:rsid w:val="0067106A"/>
    <w:rsid w:val="00676381"/>
    <w:rsid w:val="00677626"/>
    <w:rsid w:val="006815A3"/>
    <w:rsid w:val="006824AD"/>
    <w:rsid w:val="00685051"/>
    <w:rsid w:val="00685E41"/>
    <w:rsid w:val="00686D2D"/>
    <w:rsid w:val="00687C4E"/>
    <w:rsid w:val="0069225B"/>
    <w:rsid w:val="00693476"/>
    <w:rsid w:val="00694349"/>
    <w:rsid w:val="00694B34"/>
    <w:rsid w:val="00694D13"/>
    <w:rsid w:val="00695B60"/>
    <w:rsid w:val="006A0B42"/>
    <w:rsid w:val="006A10D8"/>
    <w:rsid w:val="006A3108"/>
    <w:rsid w:val="006A32B0"/>
    <w:rsid w:val="006A516C"/>
    <w:rsid w:val="006A5374"/>
    <w:rsid w:val="006B04DA"/>
    <w:rsid w:val="006B1526"/>
    <w:rsid w:val="006B292F"/>
    <w:rsid w:val="006B46BF"/>
    <w:rsid w:val="006B4AF3"/>
    <w:rsid w:val="006B569F"/>
    <w:rsid w:val="006B6C5C"/>
    <w:rsid w:val="006C3D76"/>
    <w:rsid w:val="006C57F4"/>
    <w:rsid w:val="006C5E0B"/>
    <w:rsid w:val="006C5FB7"/>
    <w:rsid w:val="006D0083"/>
    <w:rsid w:val="006D0295"/>
    <w:rsid w:val="006D0D9C"/>
    <w:rsid w:val="006D2AC4"/>
    <w:rsid w:val="006D5713"/>
    <w:rsid w:val="006D6009"/>
    <w:rsid w:val="006E1786"/>
    <w:rsid w:val="006E19C4"/>
    <w:rsid w:val="006E311B"/>
    <w:rsid w:val="006E39FC"/>
    <w:rsid w:val="006E4419"/>
    <w:rsid w:val="006E4733"/>
    <w:rsid w:val="006E66A1"/>
    <w:rsid w:val="006E7633"/>
    <w:rsid w:val="006F1647"/>
    <w:rsid w:val="006F4558"/>
    <w:rsid w:val="006F5DC7"/>
    <w:rsid w:val="006F60A7"/>
    <w:rsid w:val="006F7CD1"/>
    <w:rsid w:val="006F7D98"/>
    <w:rsid w:val="006F7EF1"/>
    <w:rsid w:val="00700311"/>
    <w:rsid w:val="00700EA2"/>
    <w:rsid w:val="007010C9"/>
    <w:rsid w:val="00703998"/>
    <w:rsid w:val="00706058"/>
    <w:rsid w:val="00707AE7"/>
    <w:rsid w:val="007119B5"/>
    <w:rsid w:val="00711DD7"/>
    <w:rsid w:val="0071310C"/>
    <w:rsid w:val="00714594"/>
    <w:rsid w:val="00714D35"/>
    <w:rsid w:val="00714F11"/>
    <w:rsid w:val="0071587C"/>
    <w:rsid w:val="00717FAB"/>
    <w:rsid w:val="007208F2"/>
    <w:rsid w:val="00720AD8"/>
    <w:rsid w:val="007212DD"/>
    <w:rsid w:val="00721438"/>
    <w:rsid w:val="00721ADA"/>
    <w:rsid w:val="00724A1B"/>
    <w:rsid w:val="00726034"/>
    <w:rsid w:val="007276C4"/>
    <w:rsid w:val="00730B6F"/>
    <w:rsid w:val="00732BEF"/>
    <w:rsid w:val="007337F3"/>
    <w:rsid w:val="00734C2C"/>
    <w:rsid w:val="00735777"/>
    <w:rsid w:val="00736736"/>
    <w:rsid w:val="007370BD"/>
    <w:rsid w:val="00737690"/>
    <w:rsid w:val="00741A26"/>
    <w:rsid w:val="00744539"/>
    <w:rsid w:val="00745CB5"/>
    <w:rsid w:val="0074615A"/>
    <w:rsid w:val="00746563"/>
    <w:rsid w:val="007475BD"/>
    <w:rsid w:val="0074761B"/>
    <w:rsid w:val="00747F3F"/>
    <w:rsid w:val="00751BE2"/>
    <w:rsid w:val="0075229E"/>
    <w:rsid w:val="00752388"/>
    <w:rsid w:val="00753369"/>
    <w:rsid w:val="00754116"/>
    <w:rsid w:val="00754C54"/>
    <w:rsid w:val="0075599C"/>
    <w:rsid w:val="007569AA"/>
    <w:rsid w:val="007608D8"/>
    <w:rsid w:val="00760B5E"/>
    <w:rsid w:val="0076211F"/>
    <w:rsid w:val="007631BF"/>
    <w:rsid w:val="00763FA8"/>
    <w:rsid w:val="00764B48"/>
    <w:rsid w:val="007670F1"/>
    <w:rsid w:val="0077044D"/>
    <w:rsid w:val="00775664"/>
    <w:rsid w:val="00776661"/>
    <w:rsid w:val="00777F7C"/>
    <w:rsid w:val="00780D80"/>
    <w:rsid w:val="00782FFF"/>
    <w:rsid w:val="007839E0"/>
    <w:rsid w:val="00794B93"/>
    <w:rsid w:val="0079614E"/>
    <w:rsid w:val="007965D9"/>
    <w:rsid w:val="00796DD7"/>
    <w:rsid w:val="007974CF"/>
    <w:rsid w:val="007A1938"/>
    <w:rsid w:val="007A5062"/>
    <w:rsid w:val="007A5938"/>
    <w:rsid w:val="007A6AE3"/>
    <w:rsid w:val="007A7F00"/>
    <w:rsid w:val="007B286F"/>
    <w:rsid w:val="007B2C0A"/>
    <w:rsid w:val="007B3224"/>
    <w:rsid w:val="007B4D7F"/>
    <w:rsid w:val="007B4E20"/>
    <w:rsid w:val="007B58F4"/>
    <w:rsid w:val="007B6809"/>
    <w:rsid w:val="007C3FB2"/>
    <w:rsid w:val="007C514A"/>
    <w:rsid w:val="007C7163"/>
    <w:rsid w:val="007D158D"/>
    <w:rsid w:val="007D21E9"/>
    <w:rsid w:val="007D24A7"/>
    <w:rsid w:val="007D346E"/>
    <w:rsid w:val="007D5B03"/>
    <w:rsid w:val="007D753A"/>
    <w:rsid w:val="007D766A"/>
    <w:rsid w:val="007E1BEE"/>
    <w:rsid w:val="007E5385"/>
    <w:rsid w:val="007E7107"/>
    <w:rsid w:val="007E7EB1"/>
    <w:rsid w:val="007F2316"/>
    <w:rsid w:val="007F26EF"/>
    <w:rsid w:val="00800CC9"/>
    <w:rsid w:val="00802F61"/>
    <w:rsid w:val="00806EBA"/>
    <w:rsid w:val="0080771C"/>
    <w:rsid w:val="0081357F"/>
    <w:rsid w:val="008138CF"/>
    <w:rsid w:val="008139BC"/>
    <w:rsid w:val="00814D18"/>
    <w:rsid w:val="008200A9"/>
    <w:rsid w:val="0082157D"/>
    <w:rsid w:val="00821CD1"/>
    <w:rsid w:val="00822026"/>
    <w:rsid w:val="00822817"/>
    <w:rsid w:val="0082301A"/>
    <w:rsid w:val="0082379C"/>
    <w:rsid w:val="00824131"/>
    <w:rsid w:val="008245BA"/>
    <w:rsid w:val="00824E53"/>
    <w:rsid w:val="00826875"/>
    <w:rsid w:val="00826C9B"/>
    <w:rsid w:val="0082710B"/>
    <w:rsid w:val="00830492"/>
    <w:rsid w:val="0083140A"/>
    <w:rsid w:val="00831604"/>
    <w:rsid w:val="00832895"/>
    <w:rsid w:val="00832BDF"/>
    <w:rsid w:val="008343C1"/>
    <w:rsid w:val="00834C96"/>
    <w:rsid w:val="00835162"/>
    <w:rsid w:val="00836B9E"/>
    <w:rsid w:val="00837125"/>
    <w:rsid w:val="008377B8"/>
    <w:rsid w:val="0084019F"/>
    <w:rsid w:val="008435AC"/>
    <w:rsid w:val="00843BE9"/>
    <w:rsid w:val="00844665"/>
    <w:rsid w:val="00850FC3"/>
    <w:rsid w:val="008603F4"/>
    <w:rsid w:val="008617CF"/>
    <w:rsid w:val="00862918"/>
    <w:rsid w:val="00862AD8"/>
    <w:rsid w:val="00863E33"/>
    <w:rsid w:val="00864D7E"/>
    <w:rsid w:val="00866231"/>
    <w:rsid w:val="00866C42"/>
    <w:rsid w:val="0087504E"/>
    <w:rsid w:val="00875ECB"/>
    <w:rsid w:val="00877A49"/>
    <w:rsid w:val="00877E37"/>
    <w:rsid w:val="00880E6B"/>
    <w:rsid w:val="008818C0"/>
    <w:rsid w:val="0088318B"/>
    <w:rsid w:val="00883896"/>
    <w:rsid w:val="00884DFA"/>
    <w:rsid w:val="00885D33"/>
    <w:rsid w:val="008864AC"/>
    <w:rsid w:val="00886A0A"/>
    <w:rsid w:val="00893390"/>
    <w:rsid w:val="00893D79"/>
    <w:rsid w:val="008964B7"/>
    <w:rsid w:val="008966DC"/>
    <w:rsid w:val="00896BB5"/>
    <w:rsid w:val="00896CF7"/>
    <w:rsid w:val="00896FE0"/>
    <w:rsid w:val="008A122C"/>
    <w:rsid w:val="008A19E4"/>
    <w:rsid w:val="008A49DD"/>
    <w:rsid w:val="008A4A29"/>
    <w:rsid w:val="008B282E"/>
    <w:rsid w:val="008B3470"/>
    <w:rsid w:val="008B50DB"/>
    <w:rsid w:val="008B654E"/>
    <w:rsid w:val="008B6C0F"/>
    <w:rsid w:val="008B7F3F"/>
    <w:rsid w:val="008C0939"/>
    <w:rsid w:val="008C0E4C"/>
    <w:rsid w:val="008C1285"/>
    <w:rsid w:val="008C3403"/>
    <w:rsid w:val="008C50F3"/>
    <w:rsid w:val="008C71D6"/>
    <w:rsid w:val="008C72C7"/>
    <w:rsid w:val="008D0334"/>
    <w:rsid w:val="008D592F"/>
    <w:rsid w:val="008D64A1"/>
    <w:rsid w:val="008D6C88"/>
    <w:rsid w:val="008D7E3C"/>
    <w:rsid w:val="008D7EAB"/>
    <w:rsid w:val="008E3E9D"/>
    <w:rsid w:val="008E4C39"/>
    <w:rsid w:val="008E4EBB"/>
    <w:rsid w:val="008E644F"/>
    <w:rsid w:val="008E6935"/>
    <w:rsid w:val="008E7C49"/>
    <w:rsid w:val="008F1436"/>
    <w:rsid w:val="008F34AC"/>
    <w:rsid w:val="008F4CC4"/>
    <w:rsid w:val="008F5420"/>
    <w:rsid w:val="00901D2C"/>
    <w:rsid w:val="009024D2"/>
    <w:rsid w:val="009039EF"/>
    <w:rsid w:val="009040AB"/>
    <w:rsid w:val="00907991"/>
    <w:rsid w:val="00907F94"/>
    <w:rsid w:val="00911C87"/>
    <w:rsid w:val="00913924"/>
    <w:rsid w:val="00913E84"/>
    <w:rsid w:val="00914EE1"/>
    <w:rsid w:val="0091548A"/>
    <w:rsid w:val="009154AC"/>
    <w:rsid w:val="009158F4"/>
    <w:rsid w:val="00917C37"/>
    <w:rsid w:val="00923222"/>
    <w:rsid w:val="00925081"/>
    <w:rsid w:val="00927F3B"/>
    <w:rsid w:val="009306DA"/>
    <w:rsid w:val="0093143E"/>
    <w:rsid w:val="00931833"/>
    <w:rsid w:val="00931A7F"/>
    <w:rsid w:val="0093216A"/>
    <w:rsid w:val="0093238D"/>
    <w:rsid w:val="009323A9"/>
    <w:rsid w:val="0093348D"/>
    <w:rsid w:val="00933787"/>
    <w:rsid w:val="00934704"/>
    <w:rsid w:val="00935349"/>
    <w:rsid w:val="00935E98"/>
    <w:rsid w:val="009426A5"/>
    <w:rsid w:val="00943A68"/>
    <w:rsid w:val="0094429C"/>
    <w:rsid w:val="00947342"/>
    <w:rsid w:val="00947571"/>
    <w:rsid w:val="0095465A"/>
    <w:rsid w:val="00963C3B"/>
    <w:rsid w:val="009641C2"/>
    <w:rsid w:val="00965B08"/>
    <w:rsid w:val="00966382"/>
    <w:rsid w:val="009669EF"/>
    <w:rsid w:val="00966B8E"/>
    <w:rsid w:val="009716D2"/>
    <w:rsid w:val="00972575"/>
    <w:rsid w:val="009728EA"/>
    <w:rsid w:val="00972C65"/>
    <w:rsid w:val="009736B6"/>
    <w:rsid w:val="00973A82"/>
    <w:rsid w:val="0097586D"/>
    <w:rsid w:val="00980FF7"/>
    <w:rsid w:val="00981087"/>
    <w:rsid w:val="00982CE4"/>
    <w:rsid w:val="00983DA5"/>
    <w:rsid w:val="00985226"/>
    <w:rsid w:val="00986CCE"/>
    <w:rsid w:val="00986E29"/>
    <w:rsid w:val="00987306"/>
    <w:rsid w:val="0099093C"/>
    <w:rsid w:val="00990F9A"/>
    <w:rsid w:val="009918B9"/>
    <w:rsid w:val="009926E8"/>
    <w:rsid w:val="00993147"/>
    <w:rsid w:val="00993388"/>
    <w:rsid w:val="00994379"/>
    <w:rsid w:val="0099439C"/>
    <w:rsid w:val="00994CAE"/>
    <w:rsid w:val="00996CB6"/>
    <w:rsid w:val="009A0040"/>
    <w:rsid w:val="009A2677"/>
    <w:rsid w:val="009A35C8"/>
    <w:rsid w:val="009A5012"/>
    <w:rsid w:val="009A54DB"/>
    <w:rsid w:val="009A613F"/>
    <w:rsid w:val="009A65AF"/>
    <w:rsid w:val="009A6A4A"/>
    <w:rsid w:val="009A6F23"/>
    <w:rsid w:val="009A7386"/>
    <w:rsid w:val="009B048D"/>
    <w:rsid w:val="009B0AD5"/>
    <w:rsid w:val="009B13B2"/>
    <w:rsid w:val="009B4288"/>
    <w:rsid w:val="009B439E"/>
    <w:rsid w:val="009B5AE4"/>
    <w:rsid w:val="009C10F5"/>
    <w:rsid w:val="009C4014"/>
    <w:rsid w:val="009C407D"/>
    <w:rsid w:val="009C6287"/>
    <w:rsid w:val="009D0811"/>
    <w:rsid w:val="009D0FE2"/>
    <w:rsid w:val="009D7979"/>
    <w:rsid w:val="009E0446"/>
    <w:rsid w:val="009E099F"/>
    <w:rsid w:val="009E178A"/>
    <w:rsid w:val="009E3AB3"/>
    <w:rsid w:val="009E4323"/>
    <w:rsid w:val="009E4B3F"/>
    <w:rsid w:val="009E53E1"/>
    <w:rsid w:val="009E594E"/>
    <w:rsid w:val="009F0773"/>
    <w:rsid w:val="009F1B80"/>
    <w:rsid w:val="009F1D06"/>
    <w:rsid w:val="009F58C3"/>
    <w:rsid w:val="009F6BF0"/>
    <w:rsid w:val="009F73CA"/>
    <w:rsid w:val="009F7906"/>
    <w:rsid w:val="00A02FC4"/>
    <w:rsid w:val="00A0576D"/>
    <w:rsid w:val="00A1176A"/>
    <w:rsid w:val="00A12EB7"/>
    <w:rsid w:val="00A137C8"/>
    <w:rsid w:val="00A164D2"/>
    <w:rsid w:val="00A20097"/>
    <w:rsid w:val="00A221B4"/>
    <w:rsid w:val="00A238A4"/>
    <w:rsid w:val="00A25103"/>
    <w:rsid w:val="00A26F13"/>
    <w:rsid w:val="00A2798C"/>
    <w:rsid w:val="00A3028E"/>
    <w:rsid w:val="00A3051C"/>
    <w:rsid w:val="00A3127A"/>
    <w:rsid w:val="00A34684"/>
    <w:rsid w:val="00A34DB6"/>
    <w:rsid w:val="00A36494"/>
    <w:rsid w:val="00A372FF"/>
    <w:rsid w:val="00A404EC"/>
    <w:rsid w:val="00A40E1B"/>
    <w:rsid w:val="00A43356"/>
    <w:rsid w:val="00A44768"/>
    <w:rsid w:val="00A456F2"/>
    <w:rsid w:val="00A46529"/>
    <w:rsid w:val="00A466AE"/>
    <w:rsid w:val="00A46841"/>
    <w:rsid w:val="00A471D6"/>
    <w:rsid w:val="00A508DF"/>
    <w:rsid w:val="00A50CD3"/>
    <w:rsid w:val="00A52F6E"/>
    <w:rsid w:val="00A5377F"/>
    <w:rsid w:val="00A54090"/>
    <w:rsid w:val="00A551C1"/>
    <w:rsid w:val="00A55E97"/>
    <w:rsid w:val="00A61AB3"/>
    <w:rsid w:val="00A61D8E"/>
    <w:rsid w:val="00A62825"/>
    <w:rsid w:val="00A65492"/>
    <w:rsid w:val="00A665D6"/>
    <w:rsid w:val="00A66E1F"/>
    <w:rsid w:val="00A67B86"/>
    <w:rsid w:val="00A7371D"/>
    <w:rsid w:val="00A76371"/>
    <w:rsid w:val="00A76563"/>
    <w:rsid w:val="00A76826"/>
    <w:rsid w:val="00A7701C"/>
    <w:rsid w:val="00A81A1F"/>
    <w:rsid w:val="00A82931"/>
    <w:rsid w:val="00A84EC1"/>
    <w:rsid w:val="00A8551C"/>
    <w:rsid w:val="00A866B6"/>
    <w:rsid w:val="00A87D64"/>
    <w:rsid w:val="00A92C2E"/>
    <w:rsid w:val="00A92DC6"/>
    <w:rsid w:val="00A9391A"/>
    <w:rsid w:val="00A943FE"/>
    <w:rsid w:val="00A9792E"/>
    <w:rsid w:val="00AA3147"/>
    <w:rsid w:val="00AA354B"/>
    <w:rsid w:val="00AA410A"/>
    <w:rsid w:val="00AA4A4C"/>
    <w:rsid w:val="00AA58CD"/>
    <w:rsid w:val="00AA58ED"/>
    <w:rsid w:val="00AB2CF5"/>
    <w:rsid w:val="00AB4092"/>
    <w:rsid w:val="00AB5972"/>
    <w:rsid w:val="00AB7CA5"/>
    <w:rsid w:val="00AC3872"/>
    <w:rsid w:val="00AC42B0"/>
    <w:rsid w:val="00AC5E33"/>
    <w:rsid w:val="00AC6042"/>
    <w:rsid w:val="00AC6B6D"/>
    <w:rsid w:val="00AC6FC1"/>
    <w:rsid w:val="00AC7111"/>
    <w:rsid w:val="00AC734E"/>
    <w:rsid w:val="00AD04F2"/>
    <w:rsid w:val="00AD1B12"/>
    <w:rsid w:val="00AD3479"/>
    <w:rsid w:val="00AD3F2D"/>
    <w:rsid w:val="00AD42D5"/>
    <w:rsid w:val="00AD6330"/>
    <w:rsid w:val="00AE2485"/>
    <w:rsid w:val="00AE59DF"/>
    <w:rsid w:val="00AF31EB"/>
    <w:rsid w:val="00AF39AB"/>
    <w:rsid w:val="00AF62DD"/>
    <w:rsid w:val="00AF6B1A"/>
    <w:rsid w:val="00B01880"/>
    <w:rsid w:val="00B03CBB"/>
    <w:rsid w:val="00B03CCA"/>
    <w:rsid w:val="00B05E7C"/>
    <w:rsid w:val="00B07351"/>
    <w:rsid w:val="00B12285"/>
    <w:rsid w:val="00B13EFD"/>
    <w:rsid w:val="00B14EC1"/>
    <w:rsid w:val="00B1564E"/>
    <w:rsid w:val="00B165A8"/>
    <w:rsid w:val="00B20627"/>
    <w:rsid w:val="00B206AE"/>
    <w:rsid w:val="00B22B53"/>
    <w:rsid w:val="00B24105"/>
    <w:rsid w:val="00B24FAB"/>
    <w:rsid w:val="00B26324"/>
    <w:rsid w:val="00B276C7"/>
    <w:rsid w:val="00B32988"/>
    <w:rsid w:val="00B3484E"/>
    <w:rsid w:val="00B35D03"/>
    <w:rsid w:val="00B35D75"/>
    <w:rsid w:val="00B366D0"/>
    <w:rsid w:val="00B379F3"/>
    <w:rsid w:val="00B37E76"/>
    <w:rsid w:val="00B40E1D"/>
    <w:rsid w:val="00B41F0D"/>
    <w:rsid w:val="00B42698"/>
    <w:rsid w:val="00B4290B"/>
    <w:rsid w:val="00B454E6"/>
    <w:rsid w:val="00B4576A"/>
    <w:rsid w:val="00B473EB"/>
    <w:rsid w:val="00B473F4"/>
    <w:rsid w:val="00B47E9C"/>
    <w:rsid w:val="00B47F35"/>
    <w:rsid w:val="00B51962"/>
    <w:rsid w:val="00B5287A"/>
    <w:rsid w:val="00B5483E"/>
    <w:rsid w:val="00B54B8B"/>
    <w:rsid w:val="00B63116"/>
    <w:rsid w:val="00B6587C"/>
    <w:rsid w:val="00B67A97"/>
    <w:rsid w:val="00B7003B"/>
    <w:rsid w:val="00B7050A"/>
    <w:rsid w:val="00B71629"/>
    <w:rsid w:val="00B72637"/>
    <w:rsid w:val="00B72809"/>
    <w:rsid w:val="00B728DB"/>
    <w:rsid w:val="00B732BC"/>
    <w:rsid w:val="00B73C6C"/>
    <w:rsid w:val="00B7472D"/>
    <w:rsid w:val="00B755C1"/>
    <w:rsid w:val="00B759FF"/>
    <w:rsid w:val="00B77628"/>
    <w:rsid w:val="00B80A19"/>
    <w:rsid w:val="00B80E94"/>
    <w:rsid w:val="00B81329"/>
    <w:rsid w:val="00B82421"/>
    <w:rsid w:val="00B826F3"/>
    <w:rsid w:val="00B849ED"/>
    <w:rsid w:val="00B86BCE"/>
    <w:rsid w:val="00B9188A"/>
    <w:rsid w:val="00B91B2A"/>
    <w:rsid w:val="00B930BE"/>
    <w:rsid w:val="00B966D0"/>
    <w:rsid w:val="00B96E74"/>
    <w:rsid w:val="00BA1B83"/>
    <w:rsid w:val="00BA3439"/>
    <w:rsid w:val="00BA438F"/>
    <w:rsid w:val="00BA525F"/>
    <w:rsid w:val="00BA5301"/>
    <w:rsid w:val="00BA6CBF"/>
    <w:rsid w:val="00BB01E1"/>
    <w:rsid w:val="00BB3843"/>
    <w:rsid w:val="00BB4496"/>
    <w:rsid w:val="00BB44B2"/>
    <w:rsid w:val="00BB4BAE"/>
    <w:rsid w:val="00BB7685"/>
    <w:rsid w:val="00BC0222"/>
    <w:rsid w:val="00BC5575"/>
    <w:rsid w:val="00BD11EC"/>
    <w:rsid w:val="00BD31CA"/>
    <w:rsid w:val="00BD3F3D"/>
    <w:rsid w:val="00BD47AC"/>
    <w:rsid w:val="00BD4B7E"/>
    <w:rsid w:val="00BD51F0"/>
    <w:rsid w:val="00BD5800"/>
    <w:rsid w:val="00BD5C60"/>
    <w:rsid w:val="00BE26DB"/>
    <w:rsid w:val="00BE3283"/>
    <w:rsid w:val="00BE37CB"/>
    <w:rsid w:val="00BE3FDC"/>
    <w:rsid w:val="00BE61EF"/>
    <w:rsid w:val="00BE6242"/>
    <w:rsid w:val="00BE77F7"/>
    <w:rsid w:val="00BF0BE9"/>
    <w:rsid w:val="00BF1117"/>
    <w:rsid w:val="00BF190D"/>
    <w:rsid w:val="00BF2668"/>
    <w:rsid w:val="00BF391A"/>
    <w:rsid w:val="00BF56A8"/>
    <w:rsid w:val="00BF5FC8"/>
    <w:rsid w:val="00BF678F"/>
    <w:rsid w:val="00BF7EEF"/>
    <w:rsid w:val="00C01976"/>
    <w:rsid w:val="00C04E56"/>
    <w:rsid w:val="00C149C8"/>
    <w:rsid w:val="00C14B73"/>
    <w:rsid w:val="00C17ED6"/>
    <w:rsid w:val="00C2174C"/>
    <w:rsid w:val="00C23E5C"/>
    <w:rsid w:val="00C266CA"/>
    <w:rsid w:val="00C268C0"/>
    <w:rsid w:val="00C33407"/>
    <w:rsid w:val="00C3430D"/>
    <w:rsid w:val="00C4016C"/>
    <w:rsid w:val="00C401A9"/>
    <w:rsid w:val="00C429D9"/>
    <w:rsid w:val="00C43020"/>
    <w:rsid w:val="00C4501E"/>
    <w:rsid w:val="00C45D4B"/>
    <w:rsid w:val="00C468CB"/>
    <w:rsid w:val="00C46B00"/>
    <w:rsid w:val="00C513B4"/>
    <w:rsid w:val="00C518D8"/>
    <w:rsid w:val="00C529C7"/>
    <w:rsid w:val="00C53A63"/>
    <w:rsid w:val="00C5557C"/>
    <w:rsid w:val="00C5574D"/>
    <w:rsid w:val="00C5767E"/>
    <w:rsid w:val="00C57DB4"/>
    <w:rsid w:val="00C6082E"/>
    <w:rsid w:val="00C615BC"/>
    <w:rsid w:val="00C6642B"/>
    <w:rsid w:val="00C668B9"/>
    <w:rsid w:val="00C679ED"/>
    <w:rsid w:val="00C67FF5"/>
    <w:rsid w:val="00C7047E"/>
    <w:rsid w:val="00C73EE0"/>
    <w:rsid w:val="00C743E2"/>
    <w:rsid w:val="00C76258"/>
    <w:rsid w:val="00C81657"/>
    <w:rsid w:val="00C817AF"/>
    <w:rsid w:val="00C82477"/>
    <w:rsid w:val="00C82BD0"/>
    <w:rsid w:val="00C84743"/>
    <w:rsid w:val="00C866D8"/>
    <w:rsid w:val="00C87031"/>
    <w:rsid w:val="00C9197D"/>
    <w:rsid w:val="00C94EBE"/>
    <w:rsid w:val="00C968E6"/>
    <w:rsid w:val="00CA0B4D"/>
    <w:rsid w:val="00CA11DD"/>
    <w:rsid w:val="00CA2801"/>
    <w:rsid w:val="00CA3583"/>
    <w:rsid w:val="00CA5093"/>
    <w:rsid w:val="00CA5D8B"/>
    <w:rsid w:val="00CA7DBF"/>
    <w:rsid w:val="00CB18DC"/>
    <w:rsid w:val="00CB32C6"/>
    <w:rsid w:val="00CB3D42"/>
    <w:rsid w:val="00CB49E6"/>
    <w:rsid w:val="00CB607F"/>
    <w:rsid w:val="00CB6E05"/>
    <w:rsid w:val="00CC1674"/>
    <w:rsid w:val="00CC2303"/>
    <w:rsid w:val="00CC3118"/>
    <w:rsid w:val="00CC386A"/>
    <w:rsid w:val="00CC3AEF"/>
    <w:rsid w:val="00CC4A5C"/>
    <w:rsid w:val="00CC5522"/>
    <w:rsid w:val="00CC6CBE"/>
    <w:rsid w:val="00CD10E1"/>
    <w:rsid w:val="00CD12FD"/>
    <w:rsid w:val="00CD36E7"/>
    <w:rsid w:val="00CD45A5"/>
    <w:rsid w:val="00CD4D19"/>
    <w:rsid w:val="00CD5D42"/>
    <w:rsid w:val="00CD6001"/>
    <w:rsid w:val="00CD662A"/>
    <w:rsid w:val="00CD66AB"/>
    <w:rsid w:val="00CD69B2"/>
    <w:rsid w:val="00CD7521"/>
    <w:rsid w:val="00CE1739"/>
    <w:rsid w:val="00CE3371"/>
    <w:rsid w:val="00CE6440"/>
    <w:rsid w:val="00CE7D68"/>
    <w:rsid w:val="00CF0BFB"/>
    <w:rsid w:val="00CF1F93"/>
    <w:rsid w:val="00CF36D6"/>
    <w:rsid w:val="00CF62AC"/>
    <w:rsid w:val="00D003D4"/>
    <w:rsid w:val="00D0616F"/>
    <w:rsid w:val="00D12679"/>
    <w:rsid w:val="00D12742"/>
    <w:rsid w:val="00D12B86"/>
    <w:rsid w:val="00D14F9F"/>
    <w:rsid w:val="00D168A6"/>
    <w:rsid w:val="00D23486"/>
    <w:rsid w:val="00D23D82"/>
    <w:rsid w:val="00D23EBC"/>
    <w:rsid w:val="00D26779"/>
    <w:rsid w:val="00D26A1E"/>
    <w:rsid w:val="00D3061B"/>
    <w:rsid w:val="00D37047"/>
    <w:rsid w:val="00D3749B"/>
    <w:rsid w:val="00D37894"/>
    <w:rsid w:val="00D4305E"/>
    <w:rsid w:val="00D43D9F"/>
    <w:rsid w:val="00D4549D"/>
    <w:rsid w:val="00D52100"/>
    <w:rsid w:val="00D53108"/>
    <w:rsid w:val="00D53761"/>
    <w:rsid w:val="00D55B29"/>
    <w:rsid w:val="00D5642B"/>
    <w:rsid w:val="00D577A3"/>
    <w:rsid w:val="00D61C9F"/>
    <w:rsid w:val="00D61F2F"/>
    <w:rsid w:val="00D63970"/>
    <w:rsid w:val="00D63B10"/>
    <w:rsid w:val="00D64B05"/>
    <w:rsid w:val="00D65514"/>
    <w:rsid w:val="00D71D38"/>
    <w:rsid w:val="00D72872"/>
    <w:rsid w:val="00D75B44"/>
    <w:rsid w:val="00D81D5F"/>
    <w:rsid w:val="00D82786"/>
    <w:rsid w:val="00D82B19"/>
    <w:rsid w:val="00D85292"/>
    <w:rsid w:val="00D87EA6"/>
    <w:rsid w:val="00D87EB5"/>
    <w:rsid w:val="00D91B6B"/>
    <w:rsid w:val="00D93457"/>
    <w:rsid w:val="00D93548"/>
    <w:rsid w:val="00D957FC"/>
    <w:rsid w:val="00D96510"/>
    <w:rsid w:val="00DA37AD"/>
    <w:rsid w:val="00DA3A08"/>
    <w:rsid w:val="00DA51AD"/>
    <w:rsid w:val="00DA578D"/>
    <w:rsid w:val="00DA6523"/>
    <w:rsid w:val="00DA7C54"/>
    <w:rsid w:val="00DB0019"/>
    <w:rsid w:val="00DB428D"/>
    <w:rsid w:val="00DB50FB"/>
    <w:rsid w:val="00DB56CD"/>
    <w:rsid w:val="00DB5C47"/>
    <w:rsid w:val="00DB5C5E"/>
    <w:rsid w:val="00DB658B"/>
    <w:rsid w:val="00DC057C"/>
    <w:rsid w:val="00DC0BCA"/>
    <w:rsid w:val="00DC1EE1"/>
    <w:rsid w:val="00DC609B"/>
    <w:rsid w:val="00DC7673"/>
    <w:rsid w:val="00DD0F29"/>
    <w:rsid w:val="00DD283A"/>
    <w:rsid w:val="00DD46A9"/>
    <w:rsid w:val="00DD5651"/>
    <w:rsid w:val="00DE0BFF"/>
    <w:rsid w:val="00DF150B"/>
    <w:rsid w:val="00DF5E7A"/>
    <w:rsid w:val="00DF7C91"/>
    <w:rsid w:val="00E00E31"/>
    <w:rsid w:val="00E0235B"/>
    <w:rsid w:val="00E0281D"/>
    <w:rsid w:val="00E0288C"/>
    <w:rsid w:val="00E041C5"/>
    <w:rsid w:val="00E067B0"/>
    <w:rsid w:val="00E0775A"/>
    <w:rsid w:val="00E079D6"/>
    <w:rsid w:val="00E10AB6"/>
    <w:rsid w:val="00E1202F"/>
    <w:rsid w:val="00E12A2B"/>
    <w:rsid w:val="00E15A63"/>
    <w:rsid w:val="00E1600D"/>
    <w:rsid w:val="00E17B4F"/>
    <w:rsid w:val="00E17D8C"/>
    <w:rsid w:val="00E205DB"/>
    <w:rsid w:val="00E206A2"/>
    <w:rsid w:val="00E20B9C"/>
    <w:rsid w:val="00E216EB"/>
    <w:rsid w:val="00E22AD3"/>
    <w:rsid w:val="00E23011"/>
    <w:rsid w:val="00E24438"/>
    <w:rsid w:val="00E300AD"/>
    <w:rsid w:val="00E31D43"/>
    <w:rsid w:val="00E324EC"/>
    <w:rsid w:val="00E32848"/>
    <w:rsid w:val="00E3364B"/>
    <w:rsid w:val="00E338D5"/>
    <w:rsid w:val="00E33EED"/>
    <w:rsid w:val="00E34971"/>
    <w:rsid w:val="00E34B53"/>
    <w:rsid w:val="00E34F77"/>
    <w:rsid w:val="00E36605"/>
    <w:rsid w:val="00E370BB"/>
    <w:rsid w:val="00E37F93"/>
    <w:rsid w:val="00E40012"/>
    <w:rsid w:val="00E425B9"/>
    <w:rsid w:val="00E442B9"/>
    <w:rsid w:val="00E45F31"/>
    <w:rsid w:val="00E460E0"/>
    <w:rsid w:val="00E47997"/>
    <w:rsid w:val="00E47A0C"/>
    <w:rsid w:val="00E47DC0"/>
    <w:rsid w:val="00E5080A"/>
    <w:rsid w:val="00E50BCD"/>
    <w:rsid w:val="00E5207D"/>
    <w:rsid w:val="00E5248D"/>
    <w:rsid w:val="00E53855"/>
    <w:rsid w:val="00E61525"/>
    <w:rsid w:val="00E62FCC"/>
    <w:rsid w:val="00E63A94"/>
    <w:rsid w:val="00E65018"/>
    <w:rsid w:val="00E656E4"/>
    <w:rsid w:val="00E66340"/>
    <w:rsid w:val="00E664AA"/>
    <w:rsid w:val="00E71F00"/>
    <w:rsid w:val="00E734B2"/>
    <w:rsid w:val="00E76198"/>
    <w:rsid w:val="00E8233C"/>
    <w:rsid w:val="00E8324A"/>
    <w:rsid w:val="00E9048C"/>
    <w:rsid w:val="00E90B90"/>
    <w:rsid w:val="00E93562"/>
    <w:rsid w:val="00E9369B"/>
    <w:rsid w:val="00E94D1D"/>
    <w:rsid w:val="00E958D0"/>
    <w:rsid w:val="00E96EDC"/>
    <w:rsid w:val="00E9701F"/>
    <w:rsid w:val="00EA2317"/>
    <w:rsid w:val="00EA2887"/>
    <w:rsid w:val="00EA711E"/>
    <w:rsid w:val="00EB022A"/>
    <w:rsid w:val="00EB228D"/>
    <w:rsid w:val="00EB288D"/>
    <w:rsid w:val="00EB4977"/>
    <w:rsid w:val="00EB4DEA"/>
    <w:rsid w:val="00EC02C7"/>
    <w:rsid w:val="00EC120B"/>
    <w:rsid w:val="00EC244E"/>
    <w:rsid w:val="00EC3136"/>
    <w:rsid w:val="00EC3B32"/>
    <w:rsid w:val="00EC52BE"/>
    <w:rsid w:val="00EC7FD4"/>
    <w:rsid w:val="00ED0D18"/>
    <w:rsid w:val="00ED2051"/>
    <w:rsid w:val="00ED3933"/>
    <w:rsid w:val="00EE1DF1"/>
    <w:rsid w:val="00EE7050"/>
    <w:rsid w:val="00EF20E6"/>
    <w:rsid w:val="00EF3D95"/>
    <w:rsid w:val="00EF4DFD"/>
    <w:rsid w:val="00EF4E5A"/>
    <w:rsid w:val="00EF686A"/>
    <w:rsid w:val="00F00BFA"/>
    <w:rsid w:val="00F014EE"/>
    <w:rsid w:val="00F0165A"/>
    <w:rsid w:val="00F02E06"/>
    <w:rsid w:val="00F05DDA"/>
    <w:rsid w:val="00F0726C"/>
    <w:rsid w:val="00F1149F"/>
    <w:rsid w:val="00F135B4"/>
    <w:rsid w:val="00F15D1D"/>
    <w:rsid w:val="00F21AF5"/>
    <w:rsid w:val="00F23451"/>
    <w:rsid w:val="00F2561B"/>
    <w:rsid w:val="00F300B6"/>
    <w:rsid w:val="00F3040F"/>
    <w:rsid w:val="00F31246"/>
    <w:rsid w:val="00F326BB"/>
    <w:rsid w:val="00F3324A"/>
    <w:rsid w:val="00F36AB3"/>
    <w:rsid w:val="00F40997"/>
    <w:rsid w:val="00F40CC6"/>
    <w:rsid w:val="00F41E10"/>
    <w:rsid w:val="00F427FD"/>
    <w:rsid w:val="00F42B17"/>
    <w:rsid w:val="00F437EA"/>
    <w:rsid w:val="00F47FC4"/>
    <w:rsid w:val="00F55553"/>
    <w:rsid w:val="00F55896"/>
    <w:rsid w:val="00F565B7"/>
    <w:rsid w:val="00F565DD"/>
    <w:rsid w:val="00F5738B"/>
    <w:rsid w:val="00F57D30"/>
    <w:rsid w:val="00F61E3D"/>
    <w:rsid w:val="00F64D52"/>
    <w:rsid w:val="00F669F6"/>
    <w:rsid w:val="00F722B0"/>
    <w:rsid w:val="00F72B6F"/>
    <w:rsid w:val="00F731D0"/>
    <w:rsid w:val="00F73B52"/>
    <w:rsid w:val="00F7510C"/>
    <w:rsid w:val="00F75D4A"/>
    <w:rsid w:val="00F76850"/>
    <w:rsid w:val="00F76A43"/>
    <w:rsid w:val="00F7745C"/>
    <w:rsid w:val="00F8462E"/>
    <w:rsid w:val="00F867B5"/>
    <w:rsid w:val="00F9051A"/>
    <w:rsid w:val="00F908B6"/>
    <w:rsid w:val="00F90F40"/>
    <w:rsid w:val="00F9148F"/>
    <w:rsid w:val="00F91637"/>
    <w:rsid w:val="00F919A1"/>
    <w:rsid w:val="00F91C53"/>
    <w:rsid w:val="00F9283E"/>
    <w:rsid w:val="00F936F4"/>
    <w:rsid w:val="00F940EE"/>
    <w:rsid w:val="00F94CE6"/>
    <w:rsid w:val="00F958BE"/>
    <w:rsid w:val="00F96809"/>
    <w:rsid w:val="00F97901"/>
    <w:rsid w:val="00FA14B7"/>
    <w:rsid w:val="00FA24D5"/>
    <w:rsid w:val="00FA24E0"/>
    <w:rsid w:val="00FA437B"/>
    <w:rsid w:val="00FA6F85"/>
    <w:rsid w:val="00FB0F4D"/>
    <w:rsid w:val="00FB1037"/>
    <w:rsid w:val="00FB50BD"/>
    <w:rsid w:val="00FB5FD9"/>
    <w:rsid w:val="00FB72B9"/>
    <w:rsid w:val="00FB7EE1"/>
    <w:rsid w:val="00FC1E7C"/>
    <w:rsid w:val="00FC2754"/>
    <w:rsid w:val="00FC2E69"/>
    <w:rsid w:val="00FC588F"/>
    <w:rsid w:val="00FC7F01"/>
    <w:rsid w:val="00FD02C4"/>
    <w:rsid w:val="00FD15C9"/>
    <w:rsid w:val="00FD1C2C"/>
    <w:rsid w:val="00FD3075"/>
    <w:rsid w:val="00FD6657"/>
    <w:rsid w:val="00FD687E"/>
    <w:rsid w:val="00FE004E"/>
    <w:rsid w:val="00FE3BE4"/>
    <w:rsid w:val="00FE767F"/>
    <w:rsid w:val="00FF056A"/>
    <w:rsid w:val="00FF1D35"/>
    <w:rsid w:val="00FF257E"/>
    <w:rsid w:val="00FF2CAA"/>
    <w:rsid w:val="00FF582F"/>
    <w:rsid w:val="00FF5953"/>
    <w:rsid w:val="00FF5FC6"/>
    <w:rsid w:val="012950D2"/>
    <w:rsid w:val="01932E0C"/>
    <w:rsid w:val="02BA5520"/>
    <w:rsid w:val="02BB78C6"/>
    <w:rsid w:val="03000716"/>
    <w:rsid w:val="03196472"/>
    <w:rsid w:val="035070A1"/>
    <w:rsid w:val="03A04BB2"/>
    <w:rsid w:val="04694657"/>
    <w:rsid w:val="04CA557C"/>
    <w:rsid w:val="04F145CE"/>
    <w:rsid w:val="05B5186E"/>
    <w:rsid w:val="05E363C8"/>
    <w:rsid w:val="05E620C5"/>
    <w:rsid w:val="05F41211"/>
    <w:rsid w:val="06457494"/>
    <w:rsid w:val="06706BEB"/>
    <w:rsid w:val="069E4B2B"/>
    <w:rsid w:val="07E7584E"/>
    <w:rsid w:val="07ED3D13"/>
    <w:rsid w:val="07F602C6"/>
    <w:rsid w:val="0918576E"/>
    <w:rsid w:val="094A06BC"/>
    <w:rsid w:val="0975442E"/>
    <w:rsid w:val="098507B9"/>
    <w:rsid w:val="098B5C6F"/>
    <w:rsid w:val="09E313CB"/>
    <w:rsid w:val="09E774DE"/>
    <w:rsid w:val="0A116096"/>
    <w:rsid w:val="0A1D198A"/>
    <w:rsid w:val="0A251288"/>
    <w:rsid w:val="0A952098"/>
    <w:rsid w:val="0A9E5262"/>
    <w:rsid w:val="0B3A5D41"/>
    <w:rsid w:val="0BC020ED"/>
    <w:rsid w:val="0C374536"/>
    <w:rsid w:val="0C3E09E1"/>
    <w:rsid w:val="0C683B40"/>
    <w:rsid w:val="0CD84F58"/>
    <w:rsid w:val="0D2973FC"/>
    <w:rsid w:val="0D8454D4"/>
    <w:rsid w:val="0D8E77E1"/>
    <w:rsid w:val="0DB17BC2"/>
    <w:rsid w:val="0DCE0DAF"/>
    <w:rsid w:val="0E2255BB"/>
    <w:rsid w:val="0E227A75"/>
    <w:rsid w:val="0E450117"/>
    <w:rsid w:val="0E8B6098"/>
    <w:rsid w:val="0F5A2BE0"/>
    <w:rsid w:val="0FD40A76"/>
    <w:rsid w:val="108A38DA"/>
    <w:rsid w:val="10E300D7"/>
    <w:rsid w:val="112653E1"/>
    <w:rsid w:val="11485280"/>
    <w:rsid w:val="1183156D"/>
    <w:rsid w:val="11B97738"/>
    <w:rsid w:val="11D70600"/>
    <w:rsid w:val="121235D2"/>
    <w:rsid w:val="12623C42"/>
    <w:rsid w:val="129072A7"/>
    <w:rsid w:val="12B17ACF"/>
    <w:rsid w:val="12E013D8"/>
    <w:rsid w:val="13482C1E"/>
    <w:rsid w:val="13EB7CA9"/>
    <w:rsid w:val="13ED368F"/>
    <w:rsid w:val="14055364"/>
    <w:rsid w:val="14820990"/>
    <w:rsid w:val="14F108B0"/>
    <w:rsid w:val="15A22ED6"/>
    <w:rsid w:val="15DD6ACE"/>
    <w:rsid w:val="15EC2E82"/>
    <w:rsid w:val="16E8779C"/>
    <w:rsid w:val="17217822"/>
    <w:rsid w:val="17352640"/>
    <w:rsid w:val="17AD21FB"/>
    <w:rsid w:val="17E6087E"/>
    <w:rsid w:val="1813600B"/>
    <w:rsid w:val="185F3969"/>
    <w:rsid w:val="188C7D5B"/>
    <w:rsid w:val="189950ED"/>
    <w:rsid w:val="198138F4"/>
    <w:rsid w:val="19842193"/>
    <w:rsid w:val="19F36AF6"/>
    <w:rsid w:val="1A175644"/>
    <w:rsid w:val="1A643118"/>
    <w:rsid w:val="1A862B69"/>
    <w:rsid w:val="1A943510"/>
    <w:rsid w:val="1AD01D28"/>
    <w:rsid w:val="1B293D73"/>
    <w:rsid w:val="1B2C1965"/>
    <w:rsid w:val="1B6C4447"/>
    <w:rsid w:val="1B912192"/>
    <w:rsid w:val="1C395975"/>
    <w:rsid w:val="1C754EA8"/>
    <w:rsid w:val="1C984347"/>
    <w:rsid w:val="1CC15AAF"/>
    <w:rsid w:val="1CCE088D"/>
    <w:rsid w:val="1CE10321"/>
    <w:rsid w:val="1CE10FCB"/>
    <w:rsid w:val="1CFC6B48"/>
    <w:rsid w:val="1D11178D"/>
    <w:rsid w:val="1D847A0D"/>
    <w:rsid w:val="1DA62AA0"/>
    <w:rsid w:val="1E627DCB"/>
    <w:rsid w:val="1ECE06AC"/>
    <w:rsid w:val="1FBC5F41"/>
    <w:rsid w:val="1FC87B62"/>
    <w:rsid w:val="20C624FA"/>
    <w:rsid w:val="20E61E0B"/>
    <w:rsid w:val="20F4646B"/>
    <w:rsid w:val="211C1B9E"/>
    <w:rsid w:val="215935F6"/>
    <w:rsid w:val="216154E5"/>
    <w:rsid w:val="218D2597"/>
    <w:rsid w:val="218F6CB6"/>
    <w:rsid w:val="21A06AE3"/>
    <w:rsid w:val="21C90100"/>
    <w:rsid w:val="21CF7FE2"/>
    <w:rsid w:val="21DC0847"/>
    <w:rsid w:val="221B4FC0"/>
    <w:rsid w:val="227B183B"/>
    <w:rsid w:val="231D18E3"/>
    <w:rsid w:val="23E67E7B"/>
    <w:rsid w:val="24E70360"/>
    <w:rsid w:val="25483650"/>
    <w:rsid w:val="257451D3"/>
    <w:rsid w:val="258C0151"/>
    <w:rsid w:val="258C1F00"/>
    <w:rsid w:val="25BE1090"/>
    <w:rsid w:val="25C005D2"/>
    <w:rsid w:val="2600430B"/>
    <w:rsid w:val="261375A4"/>
    <w:rsid w:val="262326FA"/>
    <w:rsid w:val="26DB4095"/>
    <w:rsid w:val="26E80EF0"/>
    <w:rsid w:val="272A2AE1"/>
    <w:rsid w:val="2750280A"/>
    <w:rsid w:val="27E547A9"/>
    <w:rsid w:val="280F1D01"/>
    <w:rsid w:val="282A4474"/>
    <w:rsid w:val="29435D74"/>
    <w:rsid w:val="2987151C"/>
    <w:rsid w:val="29A75364"/>
    <w:rsid w:val="2A2F2667"/>
    <w:rsid w:val="2A3044BD"/>
    <w:rsid w:val="2A607B67"/>
    <w:rsid w:val="2A981239"/>
    <w:rsid w:val="2AB25CDB"/>
    <w:rsid w:val="2ADB7B63"/>
    <w:rsid w:val="2AEC15AA"/>
    <w:rsid w:val="2B26391E"/>
    <w:rsid w:val="2B35394A"/>
    <w:rsid w:val="2B5D704A"/>
    <w:rsid w:val="2B941395"/>
    <w:rsid w:val="2BC30F7F"/>
    <w:rsid w:val="2BC949C9"/>
    <w:rsid w:val="2BEF0203"/>
    <w:rsid w:val="2D0E5C00"/>
    <w:rsid w:val="2DB363FB"/>
    <w:rsid w:val="2DCC4340"/>
    <w:rsid w:val="2E1039C7"/>
    <w:rsid w:val="2E2C33A5"/>
    <w:rsid w:val="2E9F13A1"/>
    <w:rsid w:val="2F813E71"/>
    <w:rsid w:val="30255B1A"/>
    <w:rsid w:val="3065192E"/>
    <w:rsid w:val="309475EC"/>
    <w:rsid w:val="311B0AB9"/>
    <w:rsid w:val="319A52E9"/>
    <w:rsid w:val="324136D3"/>
    <w:rsid w:val="32732AE6"/>
    <w:rsid w:val="32EE05E1"/>
    <w:rsid w:val="33886824"/>
    <w:rsid w:val="33BA4216"/>
    <w:rsid w:val="3428423A"/>
    <w:rsid w:val="343962D2"/>
    <w:rsid w:val="3498236F"/>
    <w:rsid w:val="34D71A27"/>
    <w:rsid w:val="35286249"/>
    <w:rsid w:val="3538420E"/>
    <w:rsid w:val="35F52AE7"/>
    <w:rsid w:val="367538B9"/>
    <w:rsid w:val="367907DA"/>
    <w:rsid w:val="36B571A5"/>
    <w:rsid w:val="36B76EBA"/>
    <w:rsid w:val="37125BCF"/>
    <w:rsid w:val="37484DEB"/>
    <w:rsid w:val="38DA3B08"/>
    <w:rsid w:val="38F27275"/>
    <w:rsid w:val="392F3579"/>
    <w:rsid w:val="3941229B"/>
    <w:rsid w:val="394C556C"/>
    <w:rsid w:val="39986D80"/>
    <w:rsid w:val="3A204673"/>
    <w:rsid w:val="3A7C1774"/>
    <w:rsid w:val="3B166A48"/>
    <w:rsid w:val="3B9E7795"/>
    <w:rsid w:val="3BB86AA3"/>
    <w:rsid w:val="3C835BFB"/>
    <w:rsid w:val="3C843650"/>
    <w:rsid w:val="3CDC2278"/>
    <w:rsid w:val="3D1700AE"/>
    <w:rsid w:val="3D356CAB"/>
    <w:rsid w:val="3D9A172B"/>
    <w:rsid w:val="3E0E1F27"/>
    <w:rsid w:val="3EB23068"/>
    <w:rsid w:val="3FC30878"/>
    <w:rsid w:val="3FF91DC7"/>
    <w:rsid w:val="40290921"/>
    <w:rsid w:val="40421752"/>
    <w:rsid w:val="406116EA"/>
    <w:rsid w:val="409426B7"/>
    <w:rsid w:val="418D34F1"/>
    <w:rsid w:val="41A975BF"/>
    <w:rsid w:val="41C621B9"/>
    <w:rsid w:val="41DD2654"/>
    <w:rsid w:val="424463C6"/>
    <w:rsid w:val="42B45246"/>
    <w:rsid w:val="42C768CD"/>
    <w:rsid w:val="43847E36"/>
    <w:rsid w:val="43B24869"/>
    <w:rsid w:val="43D8303A"/>
    <w:rsid w:val="4484119E"/>
    <w:rsid w:val="448F0593"/>
    <w:rsid w:val="44A90DEE"/>
    <w:rsid w:val="44B01A72"/>
    <w:rsid w:val="451962D3"/>
    <w:rsid w:val="454464D7"/>
    <w:rsid w:val="464A2303"/>
    <w:rsid w:val="47521103"/>
    <w:rsid w:val="47754CB9"/>
    <w:rsid w:val="47B25B64"/>
    <w:rsid w:val="480C65CE"/>
    <w:rsid w:val="483D30D7"/>
    <w:rsid w:val="48B72F55"/>
    <w:rsid w:val="48C26D98"/>
    <w:rsid w:val="48CB222B"/>
    <w:rsid w:val="48F5237E"/>
    <w:rsid w:val="49236052"/>
    <w:rsid w:val="49C21FD9"/>
    <w:rsid w:val="49C53F72"/>
    <w:rsid w:val="49DD12D4"/>
    <w:rsid w:val="4A1642BB"/>
    <w:rsid w:val="4A3C25DD"/>
    <w:rsid w:val="4A4260F9"/>
    <w:rsid w:val="4A6B577D"/>
    <w:rsid w:val="4A7B0BCC"/>
    <w:rsid w:val="4A7E6482"/>
    <w:rsid w:val="4AD31B78"/>
    <w:rsid w:val="4AD45B06"/>
    <w:rsid w:val="4B813CF8"/>
    <w:rsid w:val="4CC821C1"/>
    <w:rsid w:val="4CF97D37"/>
    <w:rsid w:val="4D55357D"/>
    <w:rsid w:val="4E643DB1"/>
    <w:rsid w:val="4E660F6A"/>
    <w:rsid w:val="4E751D71"/>
    <w:rsid w:val="4EDE4307"/>
    <w:rsid w:val="4F3A1F2D"/>
    <w:rsid w:val="4F8735F3"/>
    <w:rsid w:val="4F8C11BC"/>
    <w:rsid w:val="4FBA23F8"/>
    <w:rsid w:val="501172DE"/>
    <w:rsid w:val="50152CF3"/>
    <w:rsid w:val="50410C0E"/>
    <w:rsid w:val="50543624"/>
    <w:rsid w:val="50735C07"/>
    <w:rsid w:val="510D5310"/>
    <w:rsid w:val="511A77CB"/>
    <w:rsid w:val="52722DD4"/>
    <w:rsid w:val="52906D2F"/>
    <w:rsid w:val="532F6CD6"/>
    <w:rsid w:val="536F49A4"/>
    <w:rsid w:val="537F6E47"/>
    <w:rsid w:val="5384145E"/>
    <w:rsid w:val="53BB6A93"/>
    <w:rsid w:val="54236D2C"/>
    <w:rsid w:val="549619C8"/>
    <w:rsid w:val="54AC0AF7"/>
    <w:rsid w:val="54FF05E5"/>
    <w:rsid w:val="553B6C1B"/>
    <w:rsid w:val="559F2198"/>
    <w:rsid w:val="55C1080B"/>
    <w:rsid w:val="56406520"/>
    <w:rsid w:val="56D27B85"/>
    <w:rsid w:val="571F4682"/>
    <w:rsid w:val="572A0752"/>
    <w:rsid w:val="572E4833"/>
    <w:rsid w:val="57402677"/>
    <w:rsid w:val="58637417"/>
    <w:rsid w:val="589E42F5"/>
    <w:rsid w:val="58BA3FD2"/>
    <w:rsid w:val="58F216DD"/>
    <w:rsid w:val="59210ED7"/>
    <w:rsid w:val="59665B6B"/>
    <w:rsid w:val="596977A1"/>
    <w:rsid w:val="59830E02"/>
    <w:rsid w:val="59F86C40"/>
    <w:rsid w:val="59FA135E"/>
    <w:rsid w:val="5AAD1321"/>
    <w:rsid w:val="5AB90144"/>
    <w:rsid w:val="5AD23F03"/>
    <w:rsid w:val="5B40049D"/>
    <w:rsid w:val="5B4A7662"/>
    <w:rsid w:val="5B65728C"/>
    <w:rsid w:val="5B691667"/>
    <w:rsid w:val="5B9C0767"/>
    <w:rsid w:val="5C04708A"/>
    <w:rsid w:val="5C1C4F11"/>
    <w:rsid w:val="5C790D8D"/>
    <w:rsid w:val="5D5F5FF6"/>
    <w:rsid w:val="5DBE67CD"/>
    <w:rsid w:val="5E55460C"/>
    <w:rsid w:val="5E682E98"/>
    <w:rsid w:val="5ED774C2"/>
    <w:rsid w:val="5EFD04EB"/>
    <w:rsid w:val="5F3541D8"/>
    <w:rsid w:val="5F8E1B89"/>
    <w:rsid w:val="5FC61F89"/>
    <w:rsid w:val="5FD81E2D"/>
    <w:rsid w:val="60665D1E"/>
    <w:rsid w:val="60793B9B"/>
    <w:rsid w:val="60903C87"/>
    <w:rsid w:val="609435F4"/>
    <w:rsid w:val="60973C5E"/>
    <w:rsid w:val="609C511D"/>
    <w:rsid w:val="60FD7404"/>
    <w:rsid w:val="61A90319"/>
    <w:rsid w:val="61EC6666"/>
    <w:rsid w:val="624935CE"/>
    <w:rsid w:val="62A20948"/>
    <w:rsid w:val="62A723EA"/>
    <w:rsid w:val="63BD3AFD"/>
    <w:rsid w:val="63F22474"/>
    <w:rsid w:val="64000D2E"/>
    <w:rsid w:val="64593B52"/>
    <w:rsid w:val="646145A1"/>
    <w:rsid w:val="652F0962"/>
    <w:rsid w:val="6572692C"/>
    <w:rsid w:val="65967D70"/>
    <w:rsid w:val="65FC516A"/>
    <w:rsid w:val="66167E6C"/>
    <w:rsid w:val="666C19F6"/>
    <w:rsid w:val="668146A8"/>
    <w:rsid w:val="66DB1495"/>
    <w:rsid w:val="66E75E9D"/>
    <w:rsid w:val="66F436C7"/>
    <w:rsid w:val="671C6EB5"/>
    <w:rsid w:val="672E3D45"/>
    <w:rsid w:val="673D4002"/>
    <w:rsid w:val="67D9368D"/>
    <w:rsid w:val="67DF7B76"/>
    <w:rsid w:val="67E006B7"/>
    <w:rsid w:val="687F3451"/>
    <w:rsid w:val="68A6318B"/>
    <w:rsid w:val="68C558CD"/>
    <w:rsid w:val="68EA0767"/>
    <w:rsid w:val="68F2732D"/>
    <w:rsid w:val="694A44CB"/>
    <w:rsid w:val="696C1990"/>
    <w:rsid w:val="69DC6DEF"/>
    <w:rsid w:val="6A0923AF"/>
    <w:rsid w:val="6A0E5532"/>
    <w:rsid w:val="6A174819"/>
    <w:rsid w:val="6A6F7C5B"/>
    <w:rsid w:val="6AA02274"/>
    <w:rsid w:val="6ACA3EE0"/>
    <w:rsid w:val="6ACC24AA"/>
    <w:rsid w:val="6ADD01BE"/>
    <w:rsid w:val="6B3B3AD5"/>
    <w:rsid w:val="6B4A54DB"/>
    <w:rsid w:val="6BE404C9"/>
    <w:rsid w:val="6C0F63C1"/>
    <w:rsid w:val="6C1D6878"/>
    <w:rsid w:val="6C896F16"/>
    <w:rsid w:val="6C934EA5"/>
    <w:rsid w:val="6CB40C8E"/>
    <w:rsid w:val="6CBE1E3B"/>
    <w:rsid w:val="6D004F35"/>
    <w:rsid w:val="6D4C3B35"/>
    <w:rsid w:val="6DA8627C"/>
    <w:rsid w:val="6DC80542"/>
    <w:rsid w:val="6DED7CDB"/>
    <w:rsid w:val="6E2A0875"/>
    <w:rsid w:val="6EA55464"/>
    <w:rsid w:val="6F050E66"/>
    <w:rsid w:val="6F545590"/>
    <w:rsid w:val="6F87321A"/>
    <w:rsid w:val="6FA743AE"/>
    <w:rsid w:val="7015336E"/>
    <w:rsid w:val="701F49B9"/>
    <w:rsid w:val="702D0955"/>
    <w:rsid w:val="705337CD"/>
    <w:rsid w:val="726A022B"/>
    <w:rsid w:val="728B4CE1"/>
    <w:rsid w:val="72BA7415"/>
    <w:rsid w:val="73261D7E"/>
    <w:rsid w:val="739A0561"/>
    <w:rsid w:val="73E26806"/>
    <w:rsid w:val="742C1E96"/>
    <w:rsid w:val="749967E6"/>
    <w:rsid w:val="74997313"/>
    <w:rsid w:val="74E023EA"/>
    <w:rsid w:val="74EB2FC4"/>
    <w:rsid w:val="751A4CCF"/>
    <w:rsid w:val="756B4AD1"/>
    <w:rsid w:val="77612E07"/>
    <w:rsid w:val="776B6054"/>
    <w:rsid w:val="77CD6C0D"/>
    <w:rsid w:val="77D822F2"/>
    <w:rsid w:val="77F74765"/>
    <w:rsid w:val="77FA160A"/>
    <w:rsid w:val="783E79C1"/>
    <w:rsid w:val="7850353F"/>
    <w:rsid w:val="78644C66"/>
    <w:rsid w:val="78C03048"/>
    <w:rsid w:val="78CA7296"/>
    <w:rsid w:val="78F07184"/>
    <w:rsid w:val="78F27EF8"/>
    <w:rsid w:val="794E4806"/>
    <w:rsid w:val="79845D8F"/>
    <w:rsid w:val="799C6444"/>
    <w:rsid w:val="79A03BB4"/>
    <w:rsid w:val="7A375468"/>
    <w:rsid w:val="7A6C322C"/>
    <w:rsid w:val="7A704470"/>
    <w:rsid w:val="7AB72886"/>
    <w:rsid w:val="7B4E2AAF"/>
    <w:rsid w:val="7BAA7E1F"/>
    <w:rsid w:val="7BF322E9"/>
    <w:rsid w:val="7C0368D4"/>
    <w:rsid w:val="7C0E4A8C"/>
    <w:rsid w:val="7C1366DE"/>
    <w:rsid w:val="7C1948DD"/>
    <w:rsid w:val="7C7B5CBC"/>
    <w:rsid w:val="7C9317A4"/>
    <w:rsid w:val="7CCA3AFB"/>
    <w:rsid w:val="7D734DD5"/>
    <w:rsid w:val="7E605D03"/>
    <w:rsid w:val="7F4035CE"/>
    <w:rsid w:val="7F5A4285"/>
    <w:rsid w:val="7FC1008D"/>
    <w:rsid w:val="7FD5463F"/>
    <w:rsid w:val="7FE806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nhideWhenUsed="0" w:uiPriority="0" w:semiHidden="0"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nhideWhenUsed="0" w:uiPriority="0" w:semiHidden="0" w:name="Salutation"/>
    <w:lsdException w:unhideWhenUsed="0" w:uiPriority="0" w:semiHidden="0" w:name="Date"/>
    <w:lsdException w:uiPriority="99" w:name="Body Text First Indent"/>
    <w:lsdException w:uiPriority="99"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315" w:lineRule="atLeast"/>
    </w:pPr>
    <w:rPr>
      <w:rFonts w:ascii="宋体"/>
      <w:sz w:val="21"/>
      <w:lang w:val="en-US" w:eastAsia="zh-CN" w:bidi="ar-SA"/>
    </w:rPr>
  </w:style>
  <w:style w:type="paragraph" w:styleId="3">
    <w:name w:val="heading 1"/>
    <w:basedOn w:val="1"/>
    <w:next w:val="1"/>
    <w:link w:val="75"/>
    <w:qFormat/>
    <w:uiPriority w:val="0"/>
    <w:pPr>
      <w:spacing w:before="240" w:beforeLines="0"/>
      <w:outlineLvl w:val="0"/>
    </w:pPr>
    <w:rPr>
      <w:sz w:val="20"/>
    </w:rPr>
  </w:style>
  <w:style w:type="paragraph" w:styleId="4">
    <w:name w:val="heading 2"/>
    <w:basedOn w:val="1"/>
    <w:next w:val="1"/>
    <w:link w:val="69"/>
    <w:qFormat/>
    <w:uiPriority w:val="0"/>
    <w:pPr>
      <w:keepNext/>
      <w:autoSpaceDE/>
      <w:autoSpaceDN/>
      <w:adjustRightInd/>
      <w:spacing w:line="240" w:lineRule="auto"/>
      <w:jc w:val="center"/>
      <w:outlineLvl w:val="1"/>
    </w:pPr>
    <w:rPr>
      <w:rFonts w:ascii="Arial Narrow" w:hAnsi="Arial Narrow"/>
      <w:b/>
      <w:sz w:val="20"/>
    </w:rPr>
  </w:style>
  <w:style w:type="paragraph" w:styleId="5">
    <w:name w:val="heading 3"/>
    <w:basedOn w:val="1"/>
    <w:next w:val="1"/>
    <w:link w:val="82"/>
    <w:qFormat/>
    <w:uiPriority w:val="0"/>
    <w:pPr>
      <w:keepNext/>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line="120" w:lineRule="atLeast"/>
      <w:outlineLvl w:val="2"/>
    </w:pPr>
    <w:rPr>
      <w:rFonts w:ascii="MS Sans Serif" w:hAnsi="MS Sans Serif"/>
      <w:sz w:val="20"/>
    </w:rPr>
  </w:style>
  <w:style w:type="paragraph" w:styleId="6">
    <w:name w:val="heading 4"/>
    <w:basedOn w:val="1"/>
    <w:next w:val="2"/>
    <w:link w:val="88"/>
    <w:qFormat/>
    <w:uiPriority w:val="0"/>
    <w:pPr>
      <w:keepNext/>
      <w:widowControl/>
      <w:overflowPunct w:val="0"/>
      <w:spacing w:line="240" w:lineRule="auto"/>
      <w:jc w:val="center"/>
      <w:textAlignment w:val="baseline"/>
      <w:outlineLvl w:val="3"/>
    </w:pPr>
    <w:rPr>
      <w:rFonts w:ascii="Arial Narrow" w:hAnsi="Arial Narrow"/>
      <w:b/>
      <w:caps/>
      <w:sz w:val="20"/>
    </w:rPr>
  </w:style>
  <w:style w:type="paragraph" w:styleId="7">
    <w:name w:val="heading 5"/>
    <w:basedOn w:val="1"/>
    <w:next w:val="2"/>
    <w:link w:val="57"/>
    <w:qFormat/>
    <w:uiPriority w:val="0"/>
    <w:pPr>
      <w:keepNext/>
      <w:widowControl/>
      <w:overflowPunct w:val="0"/>
      <w:spacing w:line="240" w:lineRule="auto"/>
      <w:jc w:val="center"/>
      <w:textAlignment w:val="baseline"/>
      <w:outlineLvl w:val="4"/>
    </w:pPr>
    <w:rPr>
      <w:rFonts w:ascii="Arial Narrow" w:hAnsi="Arial Narrow"/>
      <w:sz w:val="20"/>
    </w:rPr>
  </w:style>
  <w:style w:type="paragraph" w:styleId="8">
    <w:name w:val="heading 6"/>
    <w:basedOn w:val="1"/>
    <w:next w:val="2"/>
    <w:link w:val="63"/>
    <w:qFormat/>
    <w:uiPriority w:val="0"/>
    <w:pPr>
      <w:keepNext/>
      <w:widowControl/>
      <w:overflowPunct w:val="0"/>
      <w:spacing w:line="240" w:lineRule="auto"/>
      <w:jc w:val="center"/>
      <w:textAlignment w:val="baseline"/>
      <w:outlineLvl w:val="5"/>
    </w:pPr>
    <w:rPr>
      <w:rFonts w:ascii="Arial Narrow" w:hAnsi="Arial Narrow"/>
      <w:sz w:val="20"/>
    </w:rPr>
  </w:style>
  <w:style w:type="paragraph" w:styleId="9">
    <w:name w:val="heading 7"/>
    <w:basedOn w:val="1"/>
    <w:next w:val="2"/>
    <w:link w:val="87"/>
    <w:qFormat/>
    <w:uiPriority w:val="0"/>
    <w:pPr>
      <w:keepNext/>
      <w:widowControl/>
      <w:overflowPunct w:val="0"/>
      <w:spacing w:line="240" w:lineRule="auto"/>
      <w:jc w:val="both"/>
      <w:textAlignment w:val="baseline"/>
      <w:outlineLvl w:val="6"/>
    </w:pPr>
    <w:rPr>
      <w:rFonts w:ascii="Arial Narrow" w:hAnsi="Arial Narrow"/>
      <w:sz w:val="20"/>
    </w:rPr>
  </w:style>
  <w:style w:type="paragraph" w:styleId="10">
    <w:name w:val="heading 8"/>
    <w:basedOn w:val="1"/>
    <w:next w:val="2"/>
    <w:link w:val="56"/>
    <w:qFormat/>
    <w:uiPriority w:val="0"/>
    <w:pPr>
      <w:keepNext/>
      <w:widowControl/>
      <w:overflowPunct w:val="0"/>
      <w:spacing w:line="240" w:lineRule="auto"/>
      <w:textAlignment w:val="baseline"/>
      <w:outlineLvl w:val="7"/>
    </w:pPr>
    <w:rPr>
      <w:rFonts w:ascii="Arial Narrow" w:hAnsi="Arial Narrow"/>
      <w:sz w:val="20"/>
    </w:rPr>
  </w:style>
  <w:style w:type="paragraph" w:styleId="11">
    <w:name w:val="heading 9"/>
    <w:basedOn w:val="1"/>
    <w:next w:val="2"/>
    <w:link w:val="86"/>
    <w:qFormat/>
    <w:uiPriority w:val="0"/>
    <w:pPr>
      <w:keepNext/>
      <w:widowControl/>
      <w:overflowPunct w:val="0"/>
      <w:spacing w:line="240" w:lineRule="auto"/>
      <w:jc w:val="right"/>
      <w:textAlignment w:val="baseline"/>
      <w:outlineLvl w:val="8"/>
    </w:pPr>
    <w:rPr>
      <w:rFonts w:ascii="Arial Narrow" w:hAnsi="Arial Narrow"/>
      <w:sz w:val="20"/>
    </w:rPr>
  </w:style>
  <w:style w:type="character" w:default="1" w:styleId="47">
    <w:name w:val="Default Paragraph Font"/>
    <w:uiPriority w:val="0"/>
  </w:style>
  <w:style w:type="table" w:default="1" w:styleId="46">
    <w:name w:val="Normal Table"/>
    <w:unhideWhenUsed/>
    <w:uiPriority w:val="99"/>
    <w:tblPr>
      <w:tblStyle w:val="46"/>
      <w:tblCellMar>
        <w:top w:w="0" w:type="dxa"/>
        <w:left w:w="108" w:type="dxa"/>
        <w:bottom w:w="0" w:type="dxa"/>
        <w:right w:w="108" w:type="dxa"/>
      </w:tblCellMar>
    </w:tblPr>
  </w:style>
  <w:style w:type="paragraph" w:styleId="2">
    <w:name w:val="Normal Indent"/>
    <w:basedOn w:val="1"/>
    <w:uiPriority w:val="0"/>
    <w:pPr>
      <w:widowControl/>
      <w:overflowPunct w:val="0"/>
      <w:spacing w:line="240" w:lineRule="auto"/>
      <w:ind w:firstLine="420"/>
      <w:textAlignment w:val="baseline"/>
    </w:pPr>
    <w:rPr>
      <w:rFonts w:ascii="Times New Roman"/>
      <w:sz w:val="20"/>
    </w:rPr>
  </w:style>
  <w:style w:type="paragraph" w:styleId="12">
    <w:name w:val="toc 7"/>
    <w:basedOn w:val="1"/>
    <w:next w:val="1"/>
    <w:uiPriority w:val="0"/>
    <w:pPr>
      <w:ind w:left="1260"/>
    </w:pPr>
    <w:rPr>
      <w:rFonts w:ascii="Times New Roman"/>
      <w:sz w:val="18"/>
      <w:szCs w:val="18"/>
    </w:rPr>
  </w:style>
  <w:style w:type="paragraph" w:styleId="13">
    <w:name w:val="caption"/>
    <w:basedOn w:val="1"/>
    <w:next w:val="1"/>
    <w:qFormat/>
    <w:uiPriority w:val="0"/>
    <w:pPr>
      <w:spacing w:before="60" w:beforeLines="0" w:after="60" w:afterLines="0" w:line="240" w:lineRule="atLeast"/>
      <w:jc w:val="center"/>
    </w:pPr>
    <w:rPr>
      <w:rFonts w:ascii="Arial" w:hAnsi="Arial"/>
      <w:b/>
      <w:sz w:val="24"/>
    </w:rPr>
  </w:style>
  <w:style w:type="paragraph" w:styleId="14">
    <w:name w:val="Document Map"/>
    <w:basedOn w:val="1"/>
    <w:link w:val="79"/>
    <w:uiPriority w:val="0"/>
    <w:pPr>
      <w:shd w:val="clear" w:color="auto" w:fill="000080"/>
    </w:pPr>
    <w:rPr>
      <w:sz w:val="20"/>
      <w:shd w:val="clear" w:color="auto" w:fill="000080"/>
    </w:rPr>
  </w:style>
  <w:style w:type="paragraph" w:styleId="15">
    <w:name w:val="annotation text"/>
    <w:basedOn w:val="1"/>
    <w:link w:val="72"/>
    <w:uiPriority w:val="0"/>
    <w:pPr>
      <w:autoSpaceDE/>
      <w:autoSpaceDN/>
      <w:adjustRightInd/>
      <w:spacing w:line="240" w:lineRule="auto"/>
    </w:pPr>
    <w:rPr>
      <w:rFonts w:ascii="Times New Roman"/>
      <w:szCs w:val="21"/>
    </w:rPr>
  </w:style>
  <w:style w:type="paragraph" w:styleId="16">
    <w:name w:val="Salutation"/>
    <w:basedOn w:val="1"/>
    <w:next w:val="1"/>
    <w:link w:val="84"/>
    <w:uiPriority w:val="0"/>
    <w:pPr>
      <w:widowControl/>
      <w:overflowPunct w:val="0"/>
      <w:spacing w:line="240" w:lineRule="auto"/>
      <w:textAlignment w:val="baseline"/>
    </w:pPr>
    <w:rPr>
      <w:rFonts w:ascii="楷体" w:eastAsia="楷体"/>
      <w:spacing w:val="20"/>
      <w:sz w:val="20"/>
    </w:rPr>
  </w:style>
  <w:style w:type="paragraph" w:styleId="17">
    <w:name w:val="Body Text 3"/>
    <w:basedOn w:val="1"/>
    <w:link w:val="54"/>
    <w:uiPriority w:val="0"/>
    <w:pPr>
      <w:autoSpaceDE/>
      <w:autoSpaceDN/>
      <w:adjustRightInd/>
      <w:snapToGrid w:val="0"/>
      <w:spacing w:line="312" w:lineRule="auto"/>
      <w:jc w:val="both"/>
    </w:pPr>
    <w:rPr>
      <w:rFonts w:ascii="CG Times (W1)" w:hAnsi="CG Times (W1)"/>
      <w:sz w:val="20"/>
    </w:rPr>
  </w:style>
  <w:style w:type="paragraph" w:styleId="18">
    <w:name w:val="Body Text"/>
    <w:basedOn w:val="1"/>
    <w:link w:val="76"/>
    <w:uiPriority w:val="0"/>
    <w:pPr>
      <w:tabs>
        <w:tab w:val="left" w:pos="720"/>
        <w:tab w:val="left" w:pos="12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autoSpaceDN/>
      <w:adjustRightInd/>
      <w:spacing w:before="120" w:beforeLines="0" w:line="120" w:lineRule="atLeast"/>
      <w:jc w:val="both"/>
    </w:pPr>
    <w:rPr>
      <w:rFonts w:ascii="Times New Roman"/>
      <w:spacing w:val="4"/>
      <w:sz w:val="20"/>
    </w:rPr>
  </w:style>
  <w:style w:type="paragraph" w:styleId="19">
    <w:name w:val="Body Text Indent"/>
    <w:basedOn w:val="1"/>
    <w:link w:val="89"/>
    <w:uiPriority w:val="0"/>
    <w:pPr>
      <w:ind w:firstLine="424" w:firstLineChars="202"/>
      <w:jc w:val="both"/>
    </w:pPr>
    <w:rPr>
      <w:sz w:val="20"/>
    </w:rPr>
  </w:style>
  <w:style w:type="paragraph" w:styleId="20">
    <w:name w:val="Block Text"/>
    <w:basedOn w:val="1"/>
    <w:uiPriority w:val="0"/>
    <w:pPr>
      <w:overflowPunct w:val="0"/>
      <w:topLinePunct/>
      <w:autoSpaceDE/>
      <w:autoSpaceDN/>
      <w:ind w:left="113" w:right="113"/>
      <w:jc w:val="center"/>
    </w:pPr>
  </w:style>
  <w:style w:type="paragraph" w:styleId="21">
    <w:name w:val="toc 5"/>
    <w:basedOn w:val="1"/>
    <w:next w:val="1"/>
    <w:uiPriority w:val="0"/>
    <w:pPr>
      <w:ind w:left="840"/>
    </w:pPr>
    <w:rPr>
      <w:rFonts w:ascii="Times New Roman"/>
      <w:sz w:val="18"/>
      <w:szCs w:val="18"/>
    </w:rPr>
  </w:style>
  <w:style w:type="paragraph" w:styleId="22">
    <w:name w:val="toc 3"/>
    <w:basedOn w:val="1"/>
    <w:next w:val="1"/>
    <w:uiPriority w:val="39"/>
    <w:pPr>
      <w:tabs>
        <w:tab w:val="right" w:leader="middleDot" w:pos="8949"/>
      </w:tabs>
      <w:spacing w:line="480" w:lineRule="exact"/>
      <w:ind w:left="420"/>
    </w:pPr>
    <w:rPr>
      <w:rFonts w:ascii="Times New Roman"/>
      <w:i/>
      <w:iCs/>
      <w:sz w:val="20"/>
    </w:rPr>
  </w:style>
  <w:style w:type="paragraph" w:styleId="23">
    <w:name w:val="Plain Text"/>
    <w:basedOn w:val="1"/>
    <w:link w:val="81"/>
    <w:uiPriority w:val="0"/>
    <w:pPr>
      <w:autoSpaceDE/>
      <w:autoSpaceDN/>
      <w:adjustRightInd/>
      <w:spacing w:line="240" w:lineRule="auto"/>
      <w:jc w:val="both"/>
    </w:pPr>
    <w:rPr>
      <w:rFonts w:hAnsi="Courier New"/>
      <w:szCs w:val="21"/>
    </w:rPr>
  </w:style>
  <w:style w:type="paragraph" w:styleId="24">
    <w:name w:val="toc 8"/>
    <w:basedOn w:val="1"/>
    <w:next w:val="1"/>
    <w:uiPriority w:val="0"/>
    <w:pPr>
      <w:ind w:left="1470"/>
    </w:pPr>
    <w:rPr>
      <w:rFonts w:ascii="Times New Roman"/>
      <w:sz w:val="18"/>
      <w:szCs w:val="18"/>
    </w:rPr>
  </w:style>
  <w:style w:type="paragraph" w:styleId="25">
    <w:name w:val="Date"/>
    <w:basedOn w:val="1"/>
    <w:next w:val="1"/>
    <w:link w:val="64"/>
    <w:uiPriority w:val="0"/>
    <w:pPr>
      <w:jc w:val="both"/>
    </w:pPr>
    <w:rPr>
      <w:sz w:val="20"/>
    </w:rPr>
  </w:style>
  <w:style w:type="paragraph" w:styleId="26">
    <w:name w:val="Body Text Indent 2"/>
    <w:basedOn w:val="1"/>
    <w:link w:val="70"/>
    <w:uiPriority w:val="0"/>
    <w:pPr>
      <w:overflowPunct w:val="0"/>
      <w:topLinePunct/>
      <w:autoSpaceDE/>
      <w:autoSpaceDN/>
      <w:ind w:firstLine="426"/>
      <w:jc w:val="both"/>
    </w:pPr>
    <w:rPr>
      <w:color w:val="333399"/>
      <w:sz w:val="20"/>
    </w:rPr>
  </w:style>
  <w:style w:type="paragraph" w:styleId="27">
    <w:name w:val="endnote text"/>
    <w:basedOn w:val="1"/>
    <w:link w:val="74"/>
    <w:uiPriority w:val="0"/>
    <w:pPr>
      <w:autoSpaceDE/>
      <w:autoSpaceDN/>
      <w:adjustRightInd/>
      <w:spacing w:line="240" w:lineRule="auto"/>
    </w:pPr>
    <w:rPr>
      <w:rFonts w:ascii="CG Times (W1)" w:hAnsi="CG Times (W1)"/>
      <w:sz w:val="20"/>
    </w:rPr>
  </w:style>
  <w:style w:type="paragraph" w:styleId="28">
    <w:name w:val="Balloon Text"/>
    <w:basedOn w:val="1"/>
    <w:link w:val="90"/>
    <w:uiPriority w:val="0"/>
    <w:rPr>
      <w:sz w:val="18"/>
      <w:szCs w:val="18"/>
    </w:rPr>
  </w:style>
  <w:style w:type="paragraph" w:styleId="29">
    <w:name w:val="footer"/>
    <w:basedOn w:val="1"/>
    <w:link w:val="73"/>
    <w:uiPriority w:val="0"/>
    <w:pPr>
      <w:tabs>
        <w:tab w:val="center" w:pos="4320"/>
        <w:tab w:val="right" w:pos="8640"/>
      </w:tabs>
    </w:pPr>
    <w:rPr>
      <w:sz w:val="20"/>
    </w:rPr>
  </w:style>
  <w:style w:type="paragraph" w:styleId="30">
    <w:name w:val="header"/>
    <w:basedOn w:val="1"/>
    <w:link w:val="59"/>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31">
    <w:name w:val="toc 1"/>
    <w:basedOn w:val="1"/>
    <w:next w:val="1"/>
    <w:uiPriority w:val="39"/>
    <w:pPr>
      <w:spacing w:before="120" w:beforeLines="0" w:after="120" w:afterLines="0"/>
    </w:pPr>
    <w:rPr>
      <w:rFonts w:ascii="Times New Roman"/>
      <w:b/>
      <w:bCs/>
      <w:caps/>
      <w:sz w:val="20"/>
    </w:rPr>
  </w:style>
  <w:style w:type="paragraph" w:styleId="32">
    <w:name w:val="toc 4"/>
    <w:basedOn w:val="1"/>
    <w:next w:val="1"/>
    <w:uiPriority w:val="0"/>
    <w:pPr>
      <w:ind w:left="630"/>
    </w:pPr>
    <w:rPr>
      <w:rFonts w:ascii="Times New Roman"/>
      <w:sz w:val="18"/>
      <w:szCs w:val="18"/>
    </w:rPr>
  </w:style>
  <w:style w:type="paragraph" w:styleId="33">
    <w:name w:val="Subtitle"/>
    <w:basedOn w:val="1"/>
    <w:link w:val="80"/>
    <w:qFormat/>
    <w:uiPriority w:val="0"/>
    <w:pPr>
      <w:autoSpaceDE/>
      <w:autoSpaceDN/>
      <w:adjustRightInd/>
      <w:spacing w:line="240" w:lineRule="auto"/>
      <w:jc w:val="center"/>
    </w:pPr>
    <w:rPr>
      <w:rFonts w:ascii="Times New Roman"/>
      <w:b/>
      <w:sz w:val="20"/>
    </w:rPr>
  </w:style>
  <w:style w:type="paragraph" w:styleId="34">
    <w:name w:val="List"/>
    <w:basedOn w:val="1"/>
    <w:uiPriority w:val="0"/>
    <w:pPr>
      <w:autoSpaceDE/>
      <w:autoSpaceDN/>
      <w:adjustRightInd/>
      <w:spacing w:line="240" w:lineRule="auto"/>
      <w:ind w:left="200" w:hanging="200" w:hangingChars="200"/>
      <w:jc w:val="both"/>
    </w:pPr>
    <w:rPr>
      <w:rFonts w:ascii="Times New Roman"/>
      <w:kern w:val="2"/>
      <w:szCs w:val="24"/>
    </w:rPr>
  </w:style>
  <w:style w:type="paragraph" w:styleId="35">
    <w:name w:val="footnote text"/>
    <w:basedOn w:val="1"/>
    <w:link w:val="66"/>
    <w:uiPriority w:val="0"/>
    <w:rPr>
      <w:sz w:val="20"/>
    </w:rPr>
  </w:style>
  <w:style w:type="paragraph" w:styleId="36">
    <w:name w:val="toc 6"/>
    <w:basedOn w:val="1"/>
    <w:next w:val="1"/>
    <w:uiPriority w:val="0"/>
    <w:pPr>
      <w:ind w:left="1050"/>
    </w:pPr>
    <w:rPr>
      <w:rFonts w:ascii="Times New Roman"/>
      <w:sz w:val="18"/>
      <w:szCs w:val="18"/>
    </w:rPr>
  </w:style>
  <w:style w:type="paragraph" w:styleId="37">
    <w:name w:val="Body Text Indent 3"/>
    <w:basedOn w:val="1"/>
    <w:link w:val="91"/>
    <w:uiPriority w:val="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autoSpaceDN/>
      <w:adjustRightInd/>
      <w:spacing w:line="240" w:lineRule="exact"/>
      <w:ind w:left="432"/>
      <w:jc w:val="both"/>
    </w:pPr>
    <w:rPr>
      <w:rFonts w:ascii="Times New Roman"/>
      <w:spacing w:val="4"/>
      <w:sz w:val="20"/>
    </w:rPr>
  </w:style>
  <w:style w:type="paragraph" w:styleId="38">
    <w:name w:val="toc 2"/>
    <w:basedOn w:val="1"/>
    <w:next w:val="1"/>
    <w:uiPriority w:val="39"/>
    <w:pPr>
      <w:tabs>
        <w:tab w:val="right" w:leader="middleDot" w:pos="8949"/>
      </w:tabs>
      <w:spacing w:line="300" w:lineRule="exact"/>
      <w:ind w:left="210"/>
    </w:pPr>
    <w:rPr>
      <w:rFonts w:ascii="Times New Roman"/>
      <w:smallCaps/>
      <w:sz w:val="20"/>
    </w:rPr>
  </w:style>
  <w:style w:type="paragraph" w:styleId="39">
    <w:name w:val="toc 9"/>
    <w:basedOn w:val="1"/>
    <w:next w:val="1"/>
    <w:uiPriority w:val="0"/>
    <w:pPr>
      <w:ind w:left="1680"/>
    </w:pPr>
    <w:rPr>
      <w:rFonts w:ascii="Times New Roman"/>
      <w:sz w:val="18"/>
      <w:szCs w:val="18"/>
    </w:rPr>
  </w:style>
  <w:style w:type="paragraph" w:styleId="40">
    <w:name w:val="Body Text 2"/>
    <w:basedOn w:val="1"/>
    <w:link w:val="55"/>
    <w:uiPriority w:val="0"/>
    <w:rPr>
      <w:rFonts w:ascii="Arial Narrow" w:hAnsi="Arial Narrow" w:eastAsia="PMingLiU"/>
      <w:sz w:val="20"/>
      <w:lang w:eastAsia="zh-TW"/>
    </w:rPr>
  </w:style>
  <w:style w:type="paragraph" w:styleId="41">
    <w:name w:val="HTML Preformatted"/>
    <w:basedOn w:val="1"/>
    <w:link w:val="6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pPr>
    <w:rPr>
      <w:rFonts w:hAnsi="宋体"/>
      <w:color w:val="000000"/>
      <w:sz w:val="24"/>
      <w:szCs w:val="24"/>
    </w:rPr>
  </w:style>
  <w:style w:type="paragraph" w:styleId="42">
    <w:name w:val="Normal (Web)"/>
    <w:basedOn w:val="1"/>
    <w:uiPriority w:val="0"/>
    <w:pPr>
      <w:widowControl/>
      <w:overflowPunct w:val="0"/>
      <w:spacing w:line="240" w:lineRule="auto"/>
      <w:textAlignment w:val="baseline"/>
    </w:pPr>
    <w:rPr>
      <w:rFonts w:ascii="Times New Roman"/>
      <w:sz w:val="24"/>
      <w:szCs w:val="24"/>
    </w:rPr>
  </w:style>
  <w:style w:type="paragraph" w:styleId="43">
    <w:name w:val="index 1"/>
    <w:basedOn w:val="1"/>
    <w:next w:val="1"/>
    <w:uiPriority w:val="0"/>
    <w:pPr>
      <w:autoSpaceDE/>
      <w:autoSpaceDN/>
      <w:spacing w:line="360" w:lineRule="auto"/>
      <w:ind w:left="200" w:leftChars="200"/>
      <w:jc w:val="both"/>
      <w:textAlignment w:val="baseline"/>
    </w:pPr>
    <w:rPr>
      <w:rFonts w:ascii="Times New Roman"/>
      <w:sz w:val="28"/>
      <w:szCs w:val="24"/>
    </w:rPr>
  </w:style>
  <w:style w:type="paragraph" w:styleId="44">
    <w:name w:val="Title"/>
    <w:basedOn w:val="1"/>
    <w:link w:val="77"/>
    <w:qFormat/>
    <w:uiPriority w:val="0"/>
    <w:pPr>
      <w:autoSpaceDE/>
      <w:autoSpaceDN/>
      <w:adjustRightInd/>
      <w:spacing w:line="240" w:lineRule="auto"/>
      <w:jc w:val="center"/>
    </w:pPr>
    <w:rPr>
      <w:rFonts w:ascii="Times New Roman"/>
      <w:sz w:val="20"/>
    </w:rPr>
  </w:style>
  <w:style w:type="paragraph" w:styleId="45">
    <w:name w:val="annotation subject"/>
    <w:basedOn w:val="15"/>
    <w:next w:val="15"/>
    <w:link w:val="83"/>
    <w:uiPriority w:val="0"/>
    <w:rPr>
      <w:b/>
      <w:bCs/>
      <w:sz w:val="24"/>
      <w:szCs w:val="24"/>
    </w:rPr>
  </w:style>
  <w:style w:type="character" w:styleId="48">
    <w:name w:val="Strong"/>
    <w:qFormat/>
    <w:uiPriority w:val="0"/>
    <w:rPr>
      <w:rFonts w:cs="Times New Roman"/>
      <w:b/>
      <w:bCs/>
    </w:rPr>
  </w:style>
  <w:style w:type="character" w:styleId="49">
    <w:name w:val="page number"/>
    <w:uiPriority w:val="0"/>
    <w:rPr>
      <w:rFonts w:cs="Times New Roman"/>
    </w:rPr>
  </w:style>
  <w:style w:type="character" w:styleId="50">
    <w:name w:val="FollowedHyperlink"/>
    <w:uiPriority w:val="0"/>
    <w:rPr>
      <w:rFonts w:cs="Times New Roman"/>
      <w:color w:val="800080"/>
      <w:u w:val="single"/>
    </w:rPr>
  </w:style>
  <w:style w:type="character" w:styleId="51">
    <w:name w:val="Emphasis"/>
    <w:qFormat/>
    <w:uiPriority w:val="0"/>
    <w:rPr>
      <w:color w:val="CC0000"/>
    </w:rPr>
  </w:style>
  <w:style w:type="character" w:styleId="52">
    <w:name w:val="Hyperlink"/>
    <w:uiPriority w:val="99"/>
    <w:rPr>
      <w:rFonts w:cs="Times New Roman"/>
      <w:color w:val="000000"/>
      <w:u w:val="none"/>
    </w:rPr>
  </w:style>
  <w:style w:type="character" w:styleId="53">
    <w:name w:val="annotation reference"/>
    <w:uiPriority w:val="0"/>
    <w:rPr>
      <w:rFonts w:cs="Times New Roman"/>
      <w:sz w:val="21"/>
      <w:szCs w:val="21"/>
    </w:rPr>
  </w:style>
  <w:style w:type="character" w:customStyle="1" w:styleId="54">
    <w:name w:val="正文文本 3 字符"/>
    <w:link w:val="17"/>
    <w:uiPriority w:val="0"/>
    <w:rPr>
      <w:rFonts w:ascii="CG Times (W1)" w:hAnsi="CG Times (W1)" w:eastAsia="宋体" w:cs="Times New Roman"/>
      <w:kern w:val="0"/>
      <w:sz w:val="20"/>
      <w:szCs w:val="20"/>
    </w:rPr>
  </w:style>
  <w:style w:type="character" w:customStyle="1" w:styleId="55">
    <w:name w:val="正文文本 2 字符"/>
    <w:link w:val="40"/>
    <w:uiPriority w:val="0"/>
    <w:rPr>
      <w:rFonts w:ascii="Arial Narrow" w:hAnsi="Arial Narrow" w:eastAsia="PMingLiU" w:cs="Times New Roman"/>
      <w:kern w:val="0"/>
      <w:sz w:val="20"/>
      <w:szCs w:val="20"/>
      <w:lang w:eastAsia="zh-TW"/>
    </w:rPr>
  </w:style>
  <w:style w:type="character" w:customStyle="1" w:styleId="56">
    <w:name w:val="标题 8 字符"/>
    <w:link w:val="10"/>
    <w:uiPriority w:val="0"/>
    <w:rPr>
      <w:rFonts w:ascii="Arial Narrow" w:hAnsi="Arial Narrow" w:eastAsia="宋体" w:cs="Times New Roman"/>
      <w:kern w:val="0"/>
      <w:sz w:val="20"/>
      <w:szCs w:val="20"/>
    </w:rPr>
  </w:style>
  <w:style w:type="character" w:customStyle="1" w:styleId="57">
    <w:name w:val="标题 5 字符"/>
    <w:link w:val="7"/>
    <w:uiPriority w:val="0"/>
    <w:rPr>
      <w:rFonts w:ascii="Arial Narrow" w:hAnsi="Arial Narrow" w:eastAsia="宋体" w:cs="Times New Roman"/>
      <w:kern w:val="0"/>
      <w:sz w:val="20"/>
      <w:szCs w:val="20"/>
    </w:rPr>
  </w:style>
  <w:style w:type="character" w:customStyle="1" w:styleId="58">
    <w:name w:val="grame"/>
    <w:uiPriority w:val="0"/>
    <w:rPr>
      <w:rFonts w:cs="Times New Roman"/>
    </w:rPr>
  </w:style>
  <w:style w:type="character" w:customStyle="1" w:styleId="59">
    <w:name w:val="页眉 字符"/>
    <w:link w:val="30"/>
    <w:uiPriority w:val="0"/>
    <w:rPr>
      <w:rFonts w:ascii="宋体" w:hAnsi="Times New Roman" w:eastAsia="宋体" w:cs="Times New Roman"/>
      <w:kern w:val="0"/>
      <w:sz w:val="18"/>
      <w:szCs w:val="18"/>
    </w:rPr>
  </w:style>
  <w:style w:type="character" w:customStyle="1" w:styleId="60">
    <w:name w:val="中文正文、 Char Char"/>
    <w:link w:val="61"/>
    <w:uiPriority w:val="0"/>
    <w:rPr>
      <w:rFonts w:ascii="Times New Roman" w:hAnsi="Times New Roman" w:eastAsia="宋体" w:cs="Times New Roman"/>
      <w:sz w:val="21"/>
      <w:szCs w:val="21"/>
    </w:rPr>
  </w:style>
  <w:style w:type="paragraph" w:customStyle="1" w:styleId="61">
    <w:name w:val="中文正文、"/>
    <w:basedOn w:val="1"/>
    <w:link w:val="60"/>
    <w:uiPriority w:val="0"/>
    <w:pPr>
      <w:autoSpaceDE/>
      <w:autoSpaceDN/>
      <w:adjustRightInd/>
      <w:spacing w:line="360" w:lineRule="auto"/>
      <w:ind w:firstLine="420" w:firstLineChars="200"/>
    </w:pPr>
    <w:rPr>
      <w:rFonts w:ascii="Times New Roman"/>
      <w:szCs w:val="21"/>
    </w:rPr>
  </w:style>
  <w:style w:type="character" w:customStyle="1" w:styleId="62">
    <w:name w:val="HTML 预设格式 字符"/>
    <w:link w:val="41"/>
    <w:uiPriority w:val="0"/>
    <w:rPr>
      <w:rFonts w:ascii="宋体" w:hAnsi="宋体" w:eastAsia="宋体" w:cs="Times New Roman"/>
      <w:color w:val="000000"/>
      <w:kern w:val="0"/>
      <w:sz w:val="24"/>
      <w:szCs w:val="24"/>
    </w:rPr>
  </w:style>
  <w:style w:type="character" w:customStyle="1" w:styleId="63">
    <w:name w:val="标题 6 字符"/>
    <w:link w:val="8"/>
    <w:uiPriority w:val="0"/>
    <w:rPr>
      <w:rFonts w:ascii="Arial Narrow" w:hAnsi="Arial Narrow" w:eastAsia="宋体" w:cs="Times New Roman"/>
      <w:kern w:val="0"/>
      <w:sz w:val="20"/>
      <w:szCs w:val="20"/>
    </w:rPr>
  </w:style>
  <w:style w:type="character" w:customStyle="1" w:styleId="64">
    <w:name w:val="日期 字符"/>
    <w:link w:val="25"/>
    <w:uiPriority w:val="0"/>
    <w:rPr>
      <w:rFonts w:ascii="宋体" w:hAnsi="Times New Roman" w:eastAsia="宋体" w:cs="Times New Roman"/>
      <w:kern w:val="0"/>
      <w:sz w:val="20"/>
      <w:szCs w:val="20"/>
    </w:rPr>
  </w:style>
  <w:style w:type="character" w:customStyle="1" w:styleId="65">
    <w:name w:val="标题 2 Char Char"/>
    <w:uiPriority w:val="0"/>
    <w:rPr>
      <w:rFonts w:ascii="Cambria" w:hAnsi="Cambria" w:eastAsia="宋体" w:cs="Times New Roman"/>
      <w:b/>
      <w:bCs/>
      <w:kern w:val="0"/>
      <w:sz w:val="32"/>
      <w:szCs w:val="32"/>
    </w:rPr>
  </w:style>
  <w:style w:type="character" w:customStyle="1" w:styleId="66">
    <w:name w:val="脚注文本 字符"/>
    <w:link w:val="35"/>
    <w:uiPriority w:val="0"/>
    <w:rPr>
      <w:rFonts w:ascii="宋体" w:hAnsi="Times New Roman" w:eastAsia="宋体" w:cs="Times New Roman"/>
      <w:kern w:val="0"/>
      <w:sz w:val="20"/>
      <w:szCs w:val="20"/>
    </w:rPr>
  </w:style>
  <w:style w:type="character" w:customStyle="1" w:styleId="67">
    <w:name w:val="标题一、 Char Char"/>
    <w:link w:val="68"/>
    <w:uiPriority w:val="0"/>
    <w:rPr>
      <w:rFonts w:ascii="黑体" w:eastAsia="黑体"/>
      <w:kern w:val="2"/>
      <w:sz w:val="32"/>
      <w:szCs w:val="32"/>
      <w:lang w:val="en-US" w:eastAsia="zh-CN" w:bidi="ar-SA"/>
    </w:rPr>
  </w:style>
  <w:style w:type="paragraph" w:customStyle="1" w:styleId="68">
    <w:name w:val="标题一、"/>
    <w:basedOn w:val="1"/>
    <w:link w:val="67"/>
    <w:uiPriority w:val="0"/>
    <w:pPr>
      <w:autoSpaceDE/>
      <w:autoSpaceDN/>
      <w:adjustRightInd/>
      <w:spacing w:before="312" w:beforeLines="100" w:after="312" w:afterLines="100" w:line="360" w:lineRule="auto"/>
      <w:jc w:val="center"/>
      <w:outlineLvl w:val="0"/>
    </w:pPr>
    <w:rPr>
      <w:rFonts w:ascii="黑体" w:eastAsia="黑体"/>
      <w:kern w:val="2"/>
      <w:sz w:val="32"/>
      <w:szCs w:val="32"/>
    </w:rPr>
  </w:style>
  <w:style w:type="character" w:customStyle="1" w:styleId="69">
    <w:name w:val="标题 2 字符"/>
    <w:link w:val="4"/>
    <w:uiPriority w:val="0"/>
    <w:rPr>
      <w:rFonts w:ascii="Arial Narrow" w:hAnsi="Arial Narrow" w:eastAsia="宋体" w:cs="Times New Roman"/>
      <w:b/>
      <w:kern w:val="0"/>
      <w:sz w:val="20"/>
      <w:szCs w:val="20"/>
    </w:rPr>
  </w:style>
  <w:style w:type="character" w:customStyle="1" w:styleId="70">
    <w:name w:val="正文文本缩进 2 字符"/>
    <w:link w:val="26"/>
    <w:uiPriority w:val="0"/>
    <w:rPr>
      <w:rFonts w:ascii="宋体" w:hAnsi="Times New Roman" w:eastAsia="宋体" w:cs="Times New Roman"/>
      <w:color w:val="333399"/>
      <w:kern w:val="0"/>
      <w:sz w:val="20"/>
      <w:szCs w:val="20"/>
    </w:rPr>
  </w:style>
  <w:style w:type="character" w:customStyle="1" w:styleId="71">
    <w:name w:val="中文正文、 Char"/>
    <w:locked/>
    <w:uiPriority w:val="99"/>
    <w:rPr>
      <w:rFonts w:ascii="Times New Roman" w:hAnsi="Times New Roman" w:eastAsia="宋体" w:cs="Times New Roman"/>
      <w:sz w:val="21"/>
      <w:szCs w:val="21"/>
    </w:rPr>
  </w:style>
  <w:style w:type="character" w:customStyle="1" w:styleId="72">
    <w:name w:val="批注文字 字符"/>
    <w:link w:val="15"/>
    <w:uiPriority w:val="0"/>
    <w:rPr>
      <w:rFonts w:ascii="Times New Roman" w:hAnsi="Times New Roman" w:eastAsia="宋体" w:cs="Times New Roman"/>
      <w:sz w:val="21"/>
      <w:szCs w:val="21"/>
    </w:rPr>
  </w:style>
  <w:style w:type="character" w:customStyle="1" w:styleId="73">
    <w:name w:val="页脚 字符"/>
    <w:link w:val="29"/>
    <w:uiPriority w:val="0"/>
    <w:rPr>
      <w:rFonts w:ascii="宋体" w:hAnsi="Times New Roman" w:eastAsia="宋体" w:cs="Times New Roman"/>
      <w:kern w:val="0"/>
      <w:sz w:val="20"/>
      <w:szCs w:val="20"/>
    </w:rPr>
  </w:style>
  <w:style w:type="character" w:customStyle="1" w:styleId="74">
    <w:name w:val="尾注文本 字符"/>
    <w:link w:val="27"/>
    <w:uiPriority w:val="0"/>
    <w:rPr>
      <w:rFonts w:ascii="CG Times (W1)" w:hAnsi="CG Times (W1)" w:eastAsia="宋体" w:cs="Times New Roman"/>
      <w:kern w:val="0"/>
      <w:sz w:val="20"/>
      <w:szCs w:val="20"/>
    </w:rPr>
  </w:style>
  <w:style w:type="character" w:customStyle="1" w:styleId="75">
    <w:name w:val="标题 1 字符"/>
    <w:link w:val="3"/>
    <w:uiPriority w:val="0"/>
    <w:rPr>
      <w:rFonts w:ascii="宋体" w:hAnsi="Times New Roman" w:eastAsia="宋体" w:cs="Times New Roman"/>
      <w:kern w:val="0"/>
      <w:sz w:val="20"/>
      <w:szCs w:val="20"/>
    </w:rPr>
  </w:style>
  <w:style w:type="character" w:customStyle="1" w:styleId="76">
    <w:name w:val="正文文本 字符"/>
    <w:link w:val="18"/>
    <w:uiPriority w:val="0"/>
    <w:rPr>
      <w:rFonts w:ascii="Times New Roman" w:hAnsi="Times New Roman" w:eastAsia="宋体" w:cs="Times New Roman"/>
      <w:spacing w:val="4"/>
      <w:kern w:val="0"/>
      <w:sz w:val="20"/>
      <w:szCs w:val="20"/>
    </w:rPr>
  </w:style>
  <w:style w:type="character" w:customStyle="1" w:styleId="77">
    <w:name w:val="标题 字符"/>
    <w:link w:val="44"/>
    <w:uiPriority w:val="0"/>
    <w:rPr>
      <w:rFonts w:ascii="Times New Roman" w:hAnsi="Times New Roman" w:eastAsia="宋体" w:cs="Times New Roman"/>
      <w:sz w:val="20"/>
      <w:szCs w:val="20"/>
    </w:rPr>
  </w:style>
  <w:style w:type="character" w:customStyle="1" w:styleId="78">
    <w:name w:val="ask-title"/>
    <w:basedOn w:val="47"/>
    <w:uiPriority w:val="0"/>
  </w:style>
  <w:style w:type="character" w:customStyle="1" w:styleId="79">
    <w:name w:val="文档结构图 字符"/>
    <w:link w:val="14"/>
    <w:uiPriority w:val="0"/>
    <w:rPr>
      <w:rFonts w:ascii="宋体" w:hAnsi="Times New Roman" w:eastAsia="宋体" w:cs="Times New Roman"/>
      <w:kern w:val="0"/>
      <w:sz w:val="20"/>
      <w:szCs w:val="20"/>
      <w:shd w:val="clear" w:color="auto" w:fill="000080"/>
    </w:rPr>
  </w:style>
  <w:style w:type="character" w:customStyle="1" w:styleId="80">
    <w:name w:val="副标题 字符"/>
    <w:link w:val="33"/>
    <w:uiPriority w:val="0"/>
    <w:rPr>
      <w:rFonts w:ascii="Times New Roman" w:hAnsi="Times New Roman" w:eastAsia="宋体" w:cs="Times New Roman"/>
      <w:b/>
      <w:sz w:val="20"/>
      <w:szCs w:val="20"/>
    </w:rPr>
  </w:style>
  <w:style w:type="character" w:customStyle="1" w:styleId="81">
    <w:name w:val="纯文本 字符"/>
    <w:link w:val="23"/>
    <w:uiPriority w:val="0"/>
    <w:rPr>
      <w:rFonts w:ascii="宋体" w:hAnsi="Courier New" w:eastAsia="宋体" w:cs="Times New Roman"/>
      <w:sz w:val="21"/>
      <w:szCs w:val="21"/>
    </w:rPr>
  </w:style>
  <w:style w:type="character" w:customStyle="1" w:styleId="82">
    <w:name w:val="标题 3 字符"/>
    <w:link w:val="5"/>
    <w:uiPriority w:val="0"/>
    <w:rPr>
      <w:rFonts w:ascii="MS Sans Serif" w:hAnsi="MS Sans Serif" w:eastAsia="宋体" w:cs="Times New Roman"/>
      <w:kern w:val="0"/>
      <w:sz w:val="20"/>
      <w:szCs w:val="20"/>
    </w:rPr>
  </w:style>
  <w:style w:type="character" w:customStyle="1" w:styleId="83">
    <w:name w:val="批注主题 字符"/>
    <w:link w:val="45"/>
    <w:uiPriority w:val="0"/>
    <w:rPr>
      <w:rFonts w:ascii="Times New Roman" w:hAnsi="Times New Roman" w:eastAsia="宋体" w:cs="Times New Roman"/>
      <w:b/>
      <w:bCs/>
      <w:sz w:val="24"/>
      <w:szCs w:val="24"/>
    </w:rPr>
  </w:style>
  <w:style w:type="character" w:customStyle="1" w:styleId="84">
    <w:name w:val="称呼 字符"/>
    <w:link w:val="16"/>
    <w:uiPriority w:val="0"/>
    <w:rPr>
      <w:rFonts w:ascii="楷体" w:hAnsi="Times New Roman" w:eastAsia="楷体" w:cs="Times New Roman"/>
      <w:spacing w:val="20"/>
      <w:kern w:val="0"/>
      <w:sz w:val="20"/>
      <w:szCs w:val="20"/>
    </w:rPr>
  </w:style>
  <w:style w:type="character" w:customStyle="1" w:styleId="85">
    <w:name w:val="标题 3 Char Char"/>
    <w:uiPriority w:val="0"/>
    <w:rPr>
      <w:rFonts w:ascii="宋体" w:hAnsi="Times New Roman" w:eastAsia="宋体" w:cs="Times New Roman"/>
      <w:b/>
      <w:bCs/>
      <w:kern w:val="0"/>
      <w:sz w:val="32"/>
      <w:szCs w:val="32"/>
    </w:rPr>
  </w:style>
  <w:style w:type="character" w:customStyle="1" w:styleId="86">
    <w:name w:val="标题 9 字符"/>
    <w:link w:val="11"/>
    <w:uiPriority w:val="0"/>
    <w:rPr>
      <w:rFonts w:ascii="Arial Narrow" w:hAnsi="Arial Narrow" w:eastAsia="宋体" w:cs="Times New Roman"/>
      <w:kern w:val="0"/>
      <w:sz w:val="20"/>
      <w:szCs w:val="20"/>
    </w:rPr>
  </w:style>
  <w:style w:type="character" w:customStyle="1" w:styleId="87">
    <w:name w:val="标题 7 字符"/>
    <w:link w:val="9"/>
    <w:uiPriority w:val="0"/>
    <w:rPr>
      <w:rFonts w:ascii="Arial Narrow" w:hAnsi="Arial Narrow" w:eastAsia="宋体" w:cs="Times New Roman"/>
      <w:kern w:val="0"/>
      <w:sz w:val="20"/>
      <w:szCs w:val="20"/>
    </w:rPr>
  </w:style>
  <w:style w:type="character" w:customStyle="1" w:styleId="88">
    <w:name w:val="标题 4 字符"/>
    <w:link w:val="6"/>
    <w:uiPriority w:val="0"/>
    <w:rPr>
      <w:rFonts w:ascii="Arial Narrow" w:hAnsi="Arial Narrow" w:eastAsia="宋体" w:cs="Times New Roman"/>
      <w:b/>
      <w:caps/>
      <w:kern w:val="0"/>
      <w:sz w:val="20"/>
      <w:szCs w:val="20"/>
    </w:rPr>
  </w:style>
  <w:style w:type="character" w:customStyle="1" w:styleId="89">
    <w:name w:val="正文文本缩进 字符"/>
    <w:link w:val="19"/>
    <w:uiPriority w:val="0"/>
    <w:rPr>
      <w:rFonts w:ascii="宋体" w:hAnsi="Times New Roman" w:eastAsia="宋体" w:cs="Times New Roman"/>
      <w:kern w:val="0"/>
      <w:sz w:val="20"/>
      <w:szCs w:val="20"/>
    </w:rPr>
  </w:style>
  <w:style w:type="character" w:customStyle="1" w:styleId="90">
    <w:name w:val="批注框文本 字符"/>
    <w:link w:val="28"/>
    <w:uiPriority w:val="0"/>
    <w:rPr>
      <w:rFonts w:ascii="宋体" w:hAnsi="Times New Roman" w:eastAsia="宋体" w:cs="Times New Roman"/>
      <w:kern w:val="0"/>
      <w:sz w:val="18"/>
      <w:szCs w:val="18"/>
    </w:rPr>
  </w:style>
  <w:style w:type="character" w:customStyle="1" w:styleId="91">
    <w:name w:val="正文文本缩进 3 字符"/>
    <w:link w:val="37"/>
    <w:uiPriority w:val="0"/>
    <w:rPr>
      <w:rFonts w:ascii="Times New Roman" w:hAnsi="Times New Roman" w:eastAsia="宋体" w:cs="Times New Roman"/>
      <w:spacing w:val="4"/>
      <w:kern w:val="0"/>
      <w:sz w:val="20"/>
      <w:szCs w:val="20"/>
    </w:rPr>
  </w:style>
  <w:style w:type="paragraph" w:customStyle="1" w:styleId="92">
    <w:name w:val="xl34"/>
    <w:basedOn w:val="1"/>
    <w:uiPriority w:val="0"/>
    <w:pPr>
      <w:widowControl/>
      <w:pBdr>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93">
    <w:name w:val="font9"/>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94">
    <w:name w:val="中文正文"/>
    <w:basedOn w:val="1"/>
    <w:qFormat/>
    <w:uiPriority w:val="0"/>
    <w:pPr>
      <w:spacing w:line="560" w:lineRule="exact"/>
      <w:ind w:firstLine="200" w:firstLineChars="200"/>
    </w:pPr>
    <w:rPr>
      <w:rFonts w:ascii="方正仿宋简体" w:hAnsi="宋体" w:eastAsia="方正仿宋简体"/>
      <w:kern w:val="0"/>
      <w:sz w:val="32"/>
      <w:lang w:val="en-GB"/>
    </w:rPr>
  </w:style>
  <w:style w:type="paragraph" w:customStyle="1" w:styleId="95">
    <w:name w:val="Mainheader"/>
    <w:basedOn w:val="1"/>
    <w:uiPriority w:val="0"/>
    <w:pPr>
      <w:widowControl/>
      <w:autoSpaceDE/>
      <w:autoSpaceDN/>
      <w:adjustRightInd/>
      <w:spacing w:before="80" w:beforeLines="0" w:after="80" w:afterLines="0" w:line="240" w:lineRule="auto"/>
      <w:jc w:val="center"/>
    </w:pPr>
    <w:rPr>
      <w:rFonts w:ascii="Times New Roman"/>
      <w:b/>
      <w:bCs/>
      <w:sz w:val="24"/>
      <w:szCs w:val="24"/>
      <w:lang w:eastAsia="en-US"/>
    </w:rPr>
  </w:style>
  <w:style w:type="paragraph" w:customStyle="1" w:styleId="96">
    <w:name w:val="xl3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both"/>
    </w:pPr>
    <w:rPr>
      <w:rFonts w:ascii="Symbol" w:hAnsi="Symbol" w:eastAsia="Arial Unicode MS" w:cs="Arial Unicode MS"/>
      <w:szCs w:val="21"/>
    </w:rPr>
  </w:style>
  <w:style w:type="paragraph" w:customStyle="1" w:styleId="97">
    <w:name w:val="xl38"/>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98">
    <w:name w:val="正文文字缩进 2"/>
    <w:basedOn w:val="1"/>
    <w:uiPriority w:val="0"/>
    <w:pPr>
      <w:widowControl/>
      <w:overflowPunct w:val="0"/>
      <w:spacing w:line="240" w:lineRule="auto"/>
      <w:ind w:left="227"/>
      <w:jc w:val="both"/>
      <w:textAlignment w:val="baseline"/>
    </w:pPr>
    <w:rPr>
      <w:rFonts w:ascii="Arial Narrow" w:hAnsi="Arial Narrow" w:cs="Arial Narrow"/>
      <w:sz w:val="22"/>
      <w:szCs w:val="22"/>
    </w:rPr>
  </w:style>
  <w:style w:type="paragraph" w:customStyle="1" w:styleId="99">
    <w:name w:val="xl31"/>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0"/>
    </w:rPr>
  </w:style>
  <w:style w:type="paragraph" w:customStyle="1" w:styleId="100">
    <w:name w:val="TESTO"/>
    <w:basedOn w:val="1"/>
    <w:uiPriority w:val="0"/>
    <w:pPr>
      <w:spacing w:line="240" w:lineRule="atLeast"/>
      <w:ind w:left="1247" w:right="851" w:hanging="851"/>
      <w:jc w:val="both"/>
      <w:textAlignment w:val="baseline"/>
    </w:pPr>
    <w:rPr>
      <w:rFonts w:ascii="Arial" w:hAnsi="Arial"/>
      <w:sz w:val="22"/>
      <w:szCs w:val="22"/>
      <w:lang w:val="en-GB"/>
    </w:rPr>
  </w:style>
  <w:style w:type="paragraph" w:customStyle="1" w:styleId="101">
    <w:name w:val="大标题"/>
    <w:basedOn w:val="1"/>
    <w:uiPriority w:val="0"/>
    <w:pPr>
      <w:autoSpaceDE/>
      <w:autoSpaceDN/>
      <w:adjustRightInd/>
      <w:snapToGrid w:val="0"/>
      <w:spacing w:line="560" w:lineRule="exact"/>
      <w:jc w:val="center"/>
    </w:pPr>
    <w:rPr>
      <w:rFonts w:ascii="方正小标宋简体" w:hAnsi="宋体" w:eastAsia="方正小标宋简体"/>
      <w:bCs/>
      <w:sz w:val="36"/>
      <w:szCs w:val="24"/>
    </w:rPr>
  </w:style>
  <w:style w:type="paragraph" w:customStyle="1" w:styleId="102">
    <w:name w:val="xl34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03">
    <w:name w:val="xl338"/>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hAnsi="宋体" w:cs="宋体"/>
      <w:sz w:val="18"/>
      <w:szCs w:val="18"/>
    </w:rPr>
  </w:style>
  <w:style w:type="paragraph" w:customStyle="1" w:styleId="104">
    <w:name w:val="xl2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color w:val="FF0000"/>
      <w:szCs w:val="21"/>
    </w:rPr>
  </w:style>
  <w:style w:type="paragraph" w:customStyle="1" w:styleId="105">
    <w:name w:val="xl339"/>
    <w:basedOn w:val="1"/>
    <w:uiPriority w:val="0"/>
    <w:pPr>
      <w:widowControl/>
      <w:pBdr>
        <w:top w:val="single" w:color="auto" w:sz="4" w:space="0"/>
        <w:left w:val="single" w:color="auto" w:sz="4" w:space="0"/>
        <w:bottom w:val="single" w:color="auto" w:sz="4" w:space="0"/>
        <w:right w:val="single" w:color="auto" w:sz="4" w:space="0"/>
      </w:pBdr>
      <w:shd w:val="clear" w:color="auto" w:fill="FFFFFF"/>
      <w:autoSpaceDE/>
      <w:autoSpaceDN/>
      <w:adjustRightInd/>
      <w:spacing w:before="100" w:beforeLines="0" w:beforeAutospacing="1" w:after="100" w:afterLines="0" w:afterAutospacing="1" w:line="240" w:lineRule="auto"/>
      <w:jc w:val="center"/>
    </w:pPr>
    <w:rPr>
      <w:rFonts w:hAnsi="宋体" w:cs="宋体"/>
      <w:color w:val="000000"/>
      <w:sz w:val="18"/>
      <w:szCs w:val="18"/>
    </w:rPr>
  </w:style>
  <w:style w:type="paragraph" w:customStyle="1" w:styleId="106">
    <w:name w:val="样式 标题 2OG Heading 2 + 无下划线 段前: 6 磅 段后: 6 磅"/>
    <w:basedOn w:val="1"/>
    <w:uiPriority w:val="0"/>
    <w:pPr>
      <w:autoSpaceDE/>
      <w:autoSpaceDN/>
      <w:snapToGrid w:val="0"/>
      <w:spacing w:before="120" w:beforeLines="0" w:after="120" w:afterLines="0" w:line="300" w:lineRule="auto"/>
      <w:jc w:val="both"/>
    </w:pPr>
    <w:rPr>
      <w:rFonts w:cs="宋体"/>
      <w:kern w:val="2"/>
      <w:sz w:val="28"/>
      <w:szCs w:val="28"/>
    </w:rPr>
  </w:style>
  <w:style w:type="paragraph" w:customStyle="1" w:styleId="107">
    <w:name w:val="kd"/>
    <w:basedOn w:val="1"/>
    <w:uiPriority w:val="0"/>
    <w:pPr>
      <w:spacing w:line="240" w:lineRule="auto"/>
      <w:ind w:left="720" w:hanging="720"/>
      <w:jc w:val="both"/>
    </w:pPr>
    <w:rPr>
      <w:position w:val="-9"/>
      <w:sz w:val="24"/>
    </w:rPr>
  </w:style>
  <w:style w:type="paragraph" w:customStyle="1" w:styleId="108">
    <w:name w:val="xl40"/>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2"/>
      <w:szCs w:val="22"/>
    </w:rPr>
  </w:style>
  <w:style w:type="paragraph" w:customStyle="1" w:styleId="109">
    <w:name w:val="正文文字缩进"/>
    <w:basedOn w:val="1"/>
    <w:uiPriority w:val="0"/>
    <w:pPr>
      <w:widowControl/>
      <w:overflowPunct w:val="0"/>
      <w:spacing w:line="360" w:lineRule="auto"/>
      <w:ind w:left="360"/>
      <w:jc w:val="both"/>
      <w:textAlignment w:val="baseline"/>
    </w:pPr>
    <w:rPr>
      <w:rFonts w:ascii="Arial Narrow" w:hAnsi="Arial Narrow" w:cs="Arial Narrow"/>
      <w:sz w:val="22"/>
      <w:szCs w:val="22"/>
    </w:rPr>
  </w:style>
  <w:style w:type="paragraph" w:customStyle="1" w:styleId="110">
    <w:name w:val="xl29"/>
    <w:basedOn w:val="1"/>
    <w:uiPriority w:val="0"/>
    <w:pPr>
      <w:widowControl/>
      <w:pBdr>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11">
    <w:name w:val="表头"/>
    <w:basedOn w:val="6"/>
    <w:next w:val="1"/>
    <w:uiPriority w:val="0"/>
    <w:pPr>
      <w:keepLines/>
      <w:widowControl w:val="0"/>
      <w:overflowPunct/>
      <w:autoSpaceDE/>
      <w:autoSpaceDN/>
      <w:spacing w:before="60" w:beforeLines="0" w:after="60" w:afterLines="0" w:line="240" w:lineRule="exact"/>
      <w:outlineLvl w:val="9"/>
    </w:pPr>
    <w:rPr>
      <w:rFonts w:ascii="Times New Roman" w:hAnsi="Times New Roman" w:eastAsia="黑体"/>
      <w:b w:val="0"/>
      <w:caps w:val="0"/>
      <w:sz w:val="21"/>
    </w:rPr>
  </w:style>
  <w:style w:type="paragraph" w:customStyle="1" w:styleId="112">
    <w:name w:val="xl37"/>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 w:val="22"/>
      <w:szCs w:val="22"/>
    </w:rPr>
  </w:style>
  <w:style w:type="paragraph" w:customStyle="1" w:styleId="113">
    <w:name w:val="xl22"/>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14">
    <w:name w:val="xl2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b/>
      <w:bCs/>
      <w:sz w:val="22"/>
      <w:szCs w:val="22"/>
    </w:rPr>
  </w:style>
  <w:style w:type="paragraph" w:customStyle="1" w:styleId="115">
    <w:name w:val="xl3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pPr>
    <w:rPr>
      <w:rFonts w:ascii="Arial Unicode MS" w:hAnsi="Arial Unicode MS" w:eastAsia="Arial Unicode MS" w:cs="Arial Unicode MS"/>
      <w:szCs w:val="21"/>
    </w:rPr>
  </w:style>
  <w:style w:type="paragraph" w:customStyle="1" w:styleId="116">
    <w:name w:val="font8"/>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117">
    <w:name w:val="正文文字"/>
    <w:basedOn w:val="1"/>
    <w:uiPriority w:val="0"/>
    <w:pPr>
      <w:widowControl/>
      <w:overflowPunct w:val="0"/>
      <w:spacing w:line="240" w:lineRule="auto"/>
      <w:jc w:val="both"/>
      <w:textAlignment w:val="baseline"/>
    </w:pPr>
    <w:rPr>
      <w:rFonts w:ascii="Arial Narrow" w:hAnsi="Arial Narrow" w:cs="Arial Narrow"/>
      <w:sz w:val="22"/>
      <w:szCs w:val="22"/>
    </w:rPr>
  </w:style>
  <w:style w:type="paragraph" w:customStyle="1" w:styleId="118">
    <w:name w:val="插页、"/>
    <w:basedOn w:val="3"/>
    <w:uiPriority w:val="0"/>
    <w:pPr>
      <w:spacing w:before="0" w:beforeLines="0" w:line="360" w:lineRule="auto"/>
      <w:jc w:val="center"/>
    </w:pPr>
    <w:rPr>
      <w:rFonts w:ascii="黑体" w:hAnsi="宋体" w:eastAsia="黑体"/>
      <w:bCs/>
      <w:kern w:val="2"/>
      <w:sz w:val="48"/>
      <w:szCs w:val="48"/>
    </w:rPr>
  </w:style>
  <w:style w:type="paragraph" w:customStyle="1" w:styleId="119">
    <w:name w:val="xl335"/>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textAlignment w:val="center"/>
    </w:pPr>
    <w:rPr>
      <w:rFonts w:hAnsi="宋体" w:cs="宋体"/>
      <w:sz w:val="18"/>
      <w:szCs w:val="18"/>
    </w:rPr>
  </w:style>
  <w:style w:type="paragraph" w:customStyle="1" w:styleId="120">
    <w:name w:val="正文文字缩进 3"/>
    <w:basedOn w:val="1"/>
    <w:uiPriority w:val="0"/>
    <w:pPr>
      <w:widowControl/>
      <w:overflowPunct w:val="0"/>
      <w:spacing w:line="240" w:lineRule="auto"/>
      <w:ind w:left="454"/>
      <w:jc w:val="both"/>
      <w:textAlignment w:val="baseline"/>
    </w:pPr>
    <w:rPr>
      <w:rFonts w:ascii="Arial Narrow" w:hAnsi="Arial Narrow" w:cs="Arial Narrow"/>
      <w:sz w:val="22"/>
      <w:szCs w:val="22"/>
    </w:rPr>
  </w:style>
  <w:style w:type="paragraph" w:customStyle="1" w:styleId="121">
    <w:name w:val="xl3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2">
    <w:name w:val="xl28"/>
    <w:basedOn w:val="1"/>
    <w:uiPriority w:val="0"/>
    <w:pPr>
      <w:widowControl/>
      <w:pBdr>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3">
    <w:name w:val="样式 标题 1 + 四号 居中 段前: 12 磅 段后: 12 磅 行距: 单倍行距"/>
    <w:basedOn w:val="3"/>
    <w:uiPriority w:val="0"/>
    <w:pPr>
      <w:keepNext/>
      <w:keepLines/>
      <w:numPr>
        <w:ilvl w:val="0"/>
        <w:numId w:val="1"/>
      </w:numPr>
      <w:autoSpaceDE/>
      <w:autoSpaceDN/>
      <w:spacing w:after="240" w:afterLines="0" w:line="240" w:lineRule="auto"/>
      <w:jc w:val="center"/>
      <w:textAlignment w:val="baseline"/>
    </w:pPr>
    <w:rPr>
      <w:rFonts w:ascii="Times New Roman"/>
      <w:b/>
      <w:kern w:val="44"/>
      <w:sz w:val="28"/>
    </w:rPr>
  </w:style>
  <w:style w:type="paragraph" w:customStyle="1" w:styleId="124">
    <w:name w:val="表内容"/>
    <w:uiPriority w:val="0"/>
    <w:pPr>
      <w:widowControl w:val="0"/>
      <w:adjustRightInd w:val="0"/>
      <w:snapToGrid w:val="0"/>
      <w:spacing w:line="500" w:lineRule="exact"/>
      <w:jc w:val="center"/>
      <w:textAlignment w:val="baseline"/>
    </w:pPr>
    <w:rPr>
      <w:rFonts w:ascii="宋体"/>
      <w:sz w:val="21"/>
      <w:lang w:val="en-US" w:eastAsia="zh-CN" w:bidi="ar-SA"/>
    </w:rPr>
  </w:style>
  <w:style w:type="paragraph" w:customStyle="1" w:styleId="125">
    <w:name w:val="标题二、"/>
    <w:basedOn w:val="1"/>
    <w:uiPriority w:val="0"/>
    <w:pPr>
      <w:autoSpaceDE/>
      <w:autoSpaceDN/>
      <w:adjustRightInd/>
      <w:spacing w:line="360" w:lineRule="auto"/>
      <w:ind w:firstLine="200" w:firstLineChars="200"/>
      <w:jc w:val="both"/>
      <w:outlineLvl w:val="2"/>
    </w:pPr>
    <w:rPr>
      <w:rFonts w:hAnsi="宋体"/>
      <w:b/>
      <w:kern w:val="2"/>
      <w:szCs w:val="21"/>
    </w:rPr>
  </w:style>
  <w:style w:type="paragraph" w:customStyle="1" w:styleId="126">
    <w:name w:val="xl41"/>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27">
    <w:name w:val="附件、"/>
    <w:basedOn w:val="1"/>
    <w:uiPriority w:val="0"/>
    <w:pPr>
      <w:autoSpaceDE/>
      <w:autoSpaceDN/>
      <w:adjustRightInd/>
      <w:spacing w:line="360" w:lineRule="auto"/>
      <w:outlineLvl w:val="0"/>
    </w:pPr>
    <w:rPr>
      <w:rFonts w:ascii="黑体" w:hAnsi="宋体" w:eastAsia="黑体"/>
      <w:kern w:val="2"/>
      <w:sz w:val="28"/>
      <w:szCs w:val="28"/>
    </w:rPr>
  </w:style>
  <w:style w:type="paragraph" w:customStyle="1" w:styleId="128">
    <w:name w:val="xl33"/>
    <w:basedOn w:val="1"/>
    <w:uiPriority w:val="0"/>
    <w:pPr>
      <w:widowControl/>
      <w:pBdr>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29">
    <w:name w:val="题目"/>
    <w:basedOn w:val="1"/>
    <w:uiPriority w:val="0"/>
    <w:pPr>
      <w:autoSpaceDE/>
      <w:autoSpaceDN/>
      <w:adjustRightInd/>
      <w:spacing w:line="240" w:lineRule="auto"/>
      <w:jc w:val="center"/>
    </w:pPr>
    <w:rPr>
      <w:rFonts w:ascii="Times New Roman"/>
      <w:b/>
      <w:bCs/>
      <w:kern w:val="2"/>
      <w:sz w:val="24"/>
      <w:szCs w:val="24"/>
    </w:rPr>
  </w:style>
  <w:style w:type="paragraph" w:customStyle="1" w:styleId="130">
    <w:name w:val="font7"/>
    <w:basedOn w:val="1"/>
    <w:uiPriority w:val="0"/>
    <w:pPr>
      <w:widowControl/>
      <w:autoSpaceDE/>
      <w:autoSpaceDN/>
      <w:adjustRightInd/>
      <w:spacing w:before="100" w:beforeLines="0" w:beforeAutospacing="1" w:after="100" w:afterLines="0" w:afterAutospacing="1" w:line="240" w:lineRule="auto"/>
    </w:pPr>
    <w:rPr>
      <w:rFonts w:ascii="Symbol" w:hAnsi="Symbol" w:eastAsia="Arial Unicode MS" w:cs="Arial Unicode MS"/>
      <w:szCs w:val="21"/>
    </w:rPr>
  </w:style>
  <w:style w:type="paragraph" w:customStyle="1" w:styleId="131">
    <w:name w:val="xl32"/>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Cs w:val="21"/>
    </w:rPr>
  </w:style>
  <w:style w:type="paragraph" w:customStyle="1" w:styleId="132">
    <w:name w:val="font6"/>
    <w:basedOn w:val="1"/>
    <w:uiPriority w:val="0"/>
    <w:pPr>
      <w:widowControl/>
      <w:autoSpaceDE/>
      <w:autoSpaceDN/>
      <w:adjustRightInd/>
      <w:spacing w:before="100" w:beforeLines="0" w:beforeAutospacing="1" w:after="100" w:afterLines="0" w:afterAutospacing="1" w:line="240" w:lineRule="auto"/>
    </w:pPr>
    <w:rPr>
      <w:rFonts w:hAnsi="宋体" w:cs="Arial Unicode MS"/>
      <w:szCs w:val="21"/>
    </w:rPr>
  </w:style>
  <w:style w:type="paragraph" w:customStyle="1" w:styleId="133">
    <w:name w:val="font11"/>
    <w:basedOn w:val="1"/>
    <w:uiPriority w:val="0"/>
    <w:pPr>
      <w:widowControl/>
      <w:autoSpaceDE/>
      <w:autoSpaceDN/>
      <w:adjustRightInd/>
      <w:spacing w:before="100" w:beforeLines="0" w:beforeAutospacing="1" w:after="100" w:afterLines="0" w:afterAutospacing="1" w:line="240" w:lineRule="auto"/>
    </w:pPr>
    <w:rPr>
      <w:rFonts w:ascii="Symbol" w:hAnsi="Symbol" w:eastAsia="Arial Unicode MS" w:cs="Arial Unicode MS"/>
      <w:color w:val="FF0000"/>
      <w:szCs w:val="21"/>
    </w:rPr>
  </w:style>
  <w:style w:type="paragraph" w:customStyle="1" w:styleId="134">
    <w:name w:val="普通(Web)"/>
    <w:basedOn w:val="1"/>
    <w:uiPriority w:val="0"/>
    <w:pPr>
      <w:widowControl/>
      <w:autoSpaceDE/>
      <w:autoSpaceDN/>
      <w:adjustRightInd/>
      <w:spacing w:before="100" w:beforeLines="0" w:after="100" w:afterLines="0" w:line="240" w:lineRule="auto"/>
      <w:jc w:val="both"/>
    </w:pPr>
    <w:rPr>
      <w:rFonts w:ascii="Times New Roman" w:hAnsi="宋体"/>
      <w:kern w:val="2"/>
      <w:sz w:val="24"/>
    </w:rPr>
  </w:style>
  <w:style w:type="paragraph" w:customStyle="1" w:styleId="135">
    <w:name w:val="样式 样式 标题 2 + 宋体 五号 非加粗 黑色 + 段前: 6 磅 段后: 0 磅 行距: 单倍行距"/>
    <w:basedOn w:val="1"/>
    <w:uiPriority w:val="0"/>
    <w:pPr>
      <w:keepNext/>
      <w:keepLines/>
      <w:numPr>
        <w:ilvl w:val="1"/>
        <w:numId w:val="1"/>
      </w:numPr>
      <w:autoSpaceDE/>
      <w:autoSpaceDN/>
      <w:spacing w:before="120" w:beforeLines="0" w:line="240" w:lineRule="auto"/>
      <w:textAlignment w:val="baseline"/>
      <w:outlineLvl w:val="1"/>
    </w:pPr>
    <w:rPr>
      <w:rFonts w:hAnsi="宋体"/>
      <w:color w:val="000000"/>
    </w:rPr>
  </w:style>
  <w:style w:type="paragraph" w:customStyle="1" w:styleId="136">
    <w:name w:val="xl24"/>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b/>
      <w:bCs/>
      <w:sz w:val="22"/>
      <w:szCs w:val="22"/>
    </w:rPr>
  </w:style>
  <w:style w:type="paragraph" w:customStyle="1" w:styleId="137">
    <w:name w:val="font10"/>
    <w:basedOn w:val="1"/>
    <w:uiPriority w:val="0"/>
    <w:pPr>
      <w:widowControl/>
      <w:autoSpaceDE/>
      <w:autoSpaceDN/>
      <w:adjustRightInd/>
      <w:spacing w:before="100" w:beforeLines="0" w:beforeAutospacing="1" w:after="100" w:afterLines="0" w:afterAutospacing="1" w:line="240" w:lineRule="auto"/>
    </w:pPr>
    <w:rPr>
      <w:rFonts w:hAnsi="宋体" w:cs="Arial Unicode MS"/>
      <w:color w:val="FF0000"/>
      <w:szCs w:val="21"/>
    </w:rPr>
  </w:style>
  <w:style w:type="paragraph" w:customStyle="1" w:styleId="138">
    <w:name w:val="xl27"/>
    <w:basedOn w:val="1"/>
    <w:uiPriority w:val="0"/>
    <w:pPr>
      <w:widowControl/>
      <w:pBdr>
        <w:top w:val="single" w:color="auto" w:sz="4" w:space="0"/>
        <w:left w:val="single" w:color="auto" w:sz="4" w:space="0"/>
        <w:right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4"/>
      <w:szCs w:val="24"/>
    </w:rPr>
  </w:style>
  <w:style w:type="paragraph" w:customStyle="1" w:styleId="139">
    <w:name w:val="xl336"/>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40">
    <w:name w:val="font5"/>
    <w:basedOn w:val="1"/>
    <w:uiPriority w:val="0"/>
    <w:pPr>
      <w:widowControl/>
      <w:autoSpaceDE/>
      <w:autoSpaceDN/>
      <w:adjustRightInd/>
      <w:spacing w:before="100" w:beforeLines="0" w:beforeAutospacing="1" w:after="100" w:afterLines="0" w:afterAutospacing="1" w:line="240" w:lineRule="auto"/>
    </w:pPr>
    <w:rPr>
      <w:rFonts w:hAnsi="宋体" w:cs="Arial Unicode MS"/>
      <w:sz w:val="18"/>
      <w:szCs w:val="18"/>
    </w:rPr>
  </w:style>
  <w:style w:type="paragraph" w:customStyle="1" w:styleId="141">
    <w:name w:val="xl39"/>
    <w:basedOn w:val="1"/>
    <w:uiPriority w:val="0"/>
    <w:pPr>
      <w:widowControl/>
      <w:pBdr>
        <w:bottom w:val="single" w:color="auto" w:sz="4" w:space="0"/>
      </w:pBdr>
      <w:autoSpaceDE/>
      <w:autoSpaceDN/>
      <w:adjustRightInd/>
      <w:spacing w:before="100" w:beforeLines="0" w:beforeAutospacing="1" w:after="100" w:afterLines="0" w:afterAutospacing="1" w:line="240" w:lineRule="auto"/>
      <w:jc w:val="center"/>
    </w:pPr>
    <w:rPr>
      <w:rFonts w:ascii="Arial Unicode MS" w:hAnsi="Arial Unicode MS" w:eastAsia="Arial Unicode MS" w:cs="Arial Unicode MS"/>
      <w:sz w:val="28"/>
      <w:szCs w:val="28"/>
    </w:rPr>
  </w:style>
  <w:style w:type="paragraph" w:customStyle="1" w:styleId="142">
    <w:name w:val="xl337"/>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center"/>
      <w:textAlignment w:val="center"/>
    </w:pPr>
    <w:rPr>
      <w:rFonts w:hAnsi="宋体" w:cs="宋体"/>
      <w:sz w:val="18"/>
      <w:szCs w:val="18"/>
    </w:rPr>
  </w:style>
  <w:style w:type="paragraph" w:customStyle="1" w:styleId="143">
    <w:name w:val="默认段落字体 Para Char Char Char Char Char Char Char"/>
    <w:basedOn w:val="1"/>
    <w:uiPriority w:val="0"/>
    <w:pPr>
      <w:autoSpaceDE/>
      <w:autoSpaceDN/>
      <w:spacing w:line="360" w:lineRule="auto"/>
      <w:ind w:left="200" w:hanging="200" w:hangingChars="200"/>
      <w:jc w:val="both"/>
      <w:textAlignment w:val="baseline"/>
    </w:pPr>
    <w:rPr>
      <w:rFonts w:ascii="Times New Roman"/>
      <w:sz w:val="24"/>
    </w:rPr>
  </w:style>
  <w:style w:type="paragraph" w:customStyle="1" w:styleId="144">
    <w:name w:val="Normal1"/>
    <w:uiPriority w:val="0"/>
    <w:pPr>
      <w:widowControl w:val="0"/>
      <w:adjustRightInd w:val="0"/>
      <w:spacing w:line="360" w:lineRule="atLeast"/>
      <w:textAlignment w:val="baseline"/>
    </w:pPr>
    <w:rPr>
      <w:rFonts w:ascii="宋体"/>
      <w:sz w:val="34"/>
      <w:lang w:val="en-US" w:eastAsia="zh-CN" w:bidi="ar-SA"/>
    </w:rPr>
  </w:style>
  <w:style w:type="paragraph" w:customStyle="1" w:styleId="145">
    <w:name w:val="xl23"/>
    <w:basedOn w:val="1"/>
    <w:uiPriority w:val="0"/>
    <w:pPr>
      <w:widowControl/>
      <w:pBdr>
        <w:top w:val="single" w:color="auto" w:sz="4" w:space="0"/>
        <w:left w:val="single" w:color="auto" w:sz="4" w:space="0"/>
        <w:bottom w:val="single" w:color="auto" w:sz="4" w:space="0"/>
        <w:right w:val="single" w:color="auto" w:sz="4" w:space="0"/>
      </w:pBdr>
      <w:autoSpaceDE/>
      <w:autoSpaceDN/>
      <w:adjustRightInd/>
      <w:spacing w:before="100" w:beforeLines="0" w:beforeAutospacing="1" w:after="100" w:afterLines="0" w:afterAutospacing="1" w:line="240" w:lineRule="auto"/>
      <w:jc w:val="both"/>
    </w:pPr>
    <w:rPr>
      <w:rFonts w:ascii="Arial Unicode MS" w:hAnsi="Arial Unicode MS" w:eastAsia="Arial Unicode MS" w:cs="Arial Unicode MS"/>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wmf"/><Relationship Id="rId2" Type="http://schemas.openxmlformats.org/officeDocument/2006/relationships/settings" Target="settings.xml"/><Relationship Id="rId19" Type="http://schemas.openxmlformats.org/officeDocument/2006/relationships/oleObject" Target="embeddings/oleObject1.bin"/><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header" Target="header2.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43</Pages>
  <Words>21882</Words>
  <Characters>24922</Characters>
  <Lines>213</Lines>
  <Paragraphs>60</Paragraphs>
  <TotalTime>0</TotalTime>
  <ScaleCrop>false</ScaleCrop>
  <LinksUpToDate>false</LinksUpToDate>
  <CharactersWithSpaces>26041</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2021-07-02T23:04:00Z</dcterms:created>
  <dc:creator>鑲栨潹</dc:creator>
  <cp:lastModifiedBy>乐天无忧</cp:lastModifiedBy>
  <cp:lastPrinted>2022-06-30T06:55:00Z</cp:lastPrinted>
  <dcterms:modified xsi:type="dcterms:W3CDTF">2022-07-19T12:28:59Z</dcterms:modified>
  <dc:title>鈥?</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C153F918897A483D8C359A64978025D0</vt:lpwstr>
  </property>
</Properties>
</file>