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4472c4"/>
          <w:sz w:val="21"/>
        </w:rPr>
        <w:t xml:space="preserve">我公司承诺完全响应供货要求内容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供货要求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一、项目概况及总体要求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2.1招标范围：本方案拟采购产品为48大类压裂车配件，共计5个物料329项物资，均为二级物资，按照长城钻探压裂公司的市场需求，两年预计年采购额约4150万元（含税，税率13%）。具体详见采购物资明细表。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2.2标包划分：不分标包。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2.3实施或交货地点：本集采项目拟采购物资不分区域或到货地点采购。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2.4交货期或供货周期：中标人接到订货通知后，7天内送货到指定地点。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2.5执行标准及技术要求：执行SY/T 5211-2016《石油天然气钻采设备 压裂成套装备》标准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二、材料/设备需求一览表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材料/设备需求一览表及最高投标限价同附件：《采购物资明细表》。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三、质量要求/技术性能指标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1.执行质量标准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执行SY/T 5211-2016《石油天然气钻采设备 压裂成套装备》标准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2.技术要求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执行SY/T 5211-2016《石油天然气钻采设备 压裂成套装备》标准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1</cp:revision>
  <dcterms:created xsi:type="dcterms:W3CDTF">2024-10-15T04:55:24Z</dcterms:created>
  <dcterms:modified xsi:type="dcterms:W3CDTF">2024-10-15T04:55:55Z</dcterms:modified>
</cp:coreProperties>
</file>