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我公司具有良好的企业信誉，资产负债率为</w:t>
      </w:r>
      <w:r>
        <w:rPr>
          <w:rFonts w:ascii="等线" w:hAnsi="等线" w:eastAsia="等线" w:cs="等线"/>
          <w:color w:val="000000"/>
          <w:sz w:val="21"/>
        </w:rPr>
        <w:t xml:space="preserve"> 31.63 % </w:t>
      </w:r>
      <w:r>
        <w:rPr>
          <w:rFonts w:ascii="SimSun" w:hAnsi="SimSun" w:eastAsia="SimSun" w:cs="SimSun"/>
          <w:color w:val="000000"/>
          <w:sz w:val="21"/>
        </w:rPr>
        <w:t xml:space="preserve">且没有处于被责令停业、财产被接管、冻结、破产或其他关、停、并、转状态；在最近三年没有与骗取合同有关以及其他经济方面的违法行为。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2024-08-28T06:41:05Z</dcterms:created>
  <dcterms:modified xsi:type="dcterms:W3CDTF">2024-08-28T06:41:24Z</dcterms:modified>
</cp:coreProperties>
</file>