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line="360" w:lineRule="auto"/>
        <w:ind w:firstLine="446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 xml:space="preserve"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.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用料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1.1 聚丙烯膜</w:t>
      </w:r>
      <w:r>
        <w:rPr>
          <w:rFonts w:ascii="宋体" w:hAnsi="宋体" w:eastAsia="宋体" w:cs="宋体"/>
          <w:sz w:val="21"/>
          <w:szCs w:val="21"/>
          <w:lang w:eastAsia="zh-CN"/>
        </w:rPr>
        <w:br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 特点：拉伸好、厚度均一、透明度高、误差小。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1.2 丙烯酸压敏胶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hanging="333" w:left="713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特点：具有无色、无味、无毒及优良抗氧化性、抗紫外线性能，胶粘性持久等特性。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hanging="333" w:left="713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tabs>
          <w:tab w:val="center" w:leader="none" w:pos="5589"/>
        </w:tabs>
        <w:spacing w:line="360" w:lineRule="auto"/>
        <w:ind w:firstLine="446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 xml:space="preserve">2.品名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 胶带（黄色）：72mm*200m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</w:r>
    </w:p>
    <w:p>
      <w:pPr>
        <w:pBdr/>
        <w:tabs>
          <w:tab w:val="center" w:leader="none" w:pos="5589"/>
        </w:tabs>
        <w:spacing w:line="360" w:lineRule="auto"/>
        <w:ind w:firstLine="446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 xml:space="preserve">2.1 工艺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使用BOPP薄膜和压敏乳液为主要原料，经涂胶、烘干、分卷等工艺加工制成的BOPP胶粘带(以下简称胶粘带）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tabs>
          <w:tab w:val="center" w:leader="none" w:pos="5589"/>
        </w:tabs>
        <w:spacing w:line="360" w:lineRule="auto"/>
        <w:ind w:firstLine="446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2.2形状、尺寸：</w:t>
      </w:r>
      <w:r>
        <w:rPr>
          <w:rFonts w:hint="eastAsia" w:ascii="宋体" w:hAnsi="宋体" w:eastAsia="宋体" w:cs="宋体"/>
          <w:b/>
          <w:sz w:val="21"/>
          <w:szCs w:val="21"/>
        </w:rPr>
      </w:r>
      <w:r>
        <w:rPr>
          <w:rFonts w:hint="eastAsia" w:ascii="宋体" w:hAnsi="宋体" w:eastAsia="宋体" w:cs="宋体"/>
          <w:b/>
          <w:sz w:val="21"/>
          <w:szCs w:val="21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200"/>
        <w:gridCol w:w="1504"/>
        <w:gridCol w:w="1610"/>
        <w:gridCol w:w="1608"/>
        <w:gridCol w:w="1555"/>
      </w:tblGrid>
      <w:tr>
        <w:trPr>
          <w:trHeight w:val="396"/>
        </w:trPr>
        <w:tc>
          <w:tcPr>
            <w:tcBorders/>
            <w:tcW w:w="2200" w:type="dxa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卷芯内径（mm)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1504" w:type="dxa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宽度（mm)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1610" w:type="dxa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长度（m)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1608" w:type="dxa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材质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厚度（μm）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358"/>
        </w:trPr>
        <w:tc>
          <w:tcPr>
            <w:tcBorders/>
            <w:tcW w:w="2200" w:type="dxa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76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1504" w:type="dxa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72±1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1610" w:type="dxa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≥200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1608" w:type="dxa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BOPP膜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60±2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</w:tbl>
    <w:p>
      <w:pPr>
        <w:pBdr/>
        <w:tabs>
          <w:tab w:val="center" w:leader="none" w:pos="5589"/>
        </w:tabs>
        <w:spacing w:line="360" w:lineRule="auto"/>
        <w:ind w:firstLine="446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 xml:space="preserve">2.3外观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两侧平整、光洁、无缝隙、无变形、无溢胶，与纸管移位不超过1mm，图案清晰、完整或着色均匀，不能有折纹、异物混入，无明显气泡等；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tabs>
          <w:tab w:val="center" w:leader="none" w:pos="5589"/>
        </w:tabs>
        <w:spacing w:line="360" w:lineRule="auto"/>
        <w:ind w:firstLine="444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tabs>
          <w:tab w:val="center" w:leader="none" w:pos="5589"/>
        </w:tabs>
        <w:spacing w:line="360" w:lineRule="auto"/>
        <w:ind w:firstLine="446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 xml:space="preserve">3.是否含有对人体有影响的物质：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不可含有对人体有影响的物质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 xml:space="preserve">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测试镉、铅、汞、六价铬、多溴联苯（PBBs）、多溴二苯醚（PBDEs）、</w:t>
      </w: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  <w:lang w:eastAsia="zh-CN"/>
        </w:rPr>
        <w:t xml:space="preserve">邻苯二甲酸二(2-乙基己基)酯(DEHP)、邻苯二甲酸 基丁酯(BBP)、邻苯二甲酸二丁基酯(DBP)、邻苯二甲酸二异丁酯(DIBP)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的结果，符合欧盟</w:t>
      </w: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  <w:lang w:eastAsia="zh-CN"/>
        </w:rPr>
        <w:t xml:space="preserve">ROHS 2.0 新修订指令(EU)2015/863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的限值要求。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tabs>
          <w:tab w:val="center" w:leader="none" w:pos="5589"/>
        </w:tabs>
        <w:spacing w:line="360" w:lineRule="auto"/>
        <w:ind w:firstLine="444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tabs>
          <w:tab w:val="center" w:leader="none" w:pos="5589"/>
        </w:tabs>
        <w:spacing w:line="360" w:lineRule="auto"/>
        <w:ind w:firstLine="446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4.物理性能</w:t>
      </w:r>
      <w:r>
        <w:rPr>
          <w:rFonts w:hint="eastAsia" w:ascii="宋体" w:hAnsi="宋体" w:eastAsia="宋体" w:cs="宋体"/>
          <w:b/>
          <w:sz w:val="21"/>
          <w:szCs w:val="21"/>
        </w:rPr>
      </w:r>
      <w:r>
        <w:rPr>
          <w:rFonts w:hint="eastAsia" w:ascii="宋体" w:hAnsi="宋体" w:eastAsia="宋体" w:cs="宋体"/>
          <w:b/>
          <w:sz w:val="21"/>
          <w:szCs w:val="21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3261"/>
        <w:gridCol w:w="3542"/>
      </w:tblGrid>
      <w:tr>
        <w:trPr>
          <w:trHeight w:val="299"/>
        </w:trPr>
        <w:tc>
          <w:tcPr>
            <w:gridSpan w:val="2"/>
            <w:tcBorders/>
            <w:tcW w:w="5145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542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封箱胶粘带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277"/>
        </w:trPr>
        <w:tc>
          <w:tcPr>
            <w:tcBorders/>
            <w:tcW w:w="1884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80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°剥离力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常态化:N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/cm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542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2.5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127"/>
        </w:trPr>
        <w:tc>
          <w:tcPr>
            <w:tcBorders/>
            <w:tcW w:w="188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初粘力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斜面滚球法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542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≥1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4号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217"/>
        </w:trPr>
        <w:tc>
          <w:tcPr>
            <w:tcBorders/>
            <w:tcW w:w="1884" w:type="dxa"/>
            <w:vAlign w:val="center"/>
            <w:vMerge w:val="continue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20" w:lineRule="exact"/>
              <w:ind w:firstLine="22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斜槽滚球法：cm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542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≤6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.0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267"/>
        </w:trPr>
        <w:tc>
          <w:tcPr>
            <w:tcBorders/>
            <w:tcW w:w="188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持粘力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m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/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h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542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≤1.0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230"/>
        </w:trPr>
        <w:tc>
          <w:tcPr>
            <w:tcBorders/>
            <w:tcW w:w="1884" w:type="dxa"/>
            <w:vMerge w:val="continue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20" w:lineRule="exact"/>
              <w:ind w:firstLine="22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  <w:r>
              <w:rPr>
                <w:rFonts w:hint="eastAsia"/>
                <w:szCs w:val="21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h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542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≥2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278"/>
        </w:trPr>
        <w:tc>
          <w:tcPr>
            <w:gridSpan w:val="2"/>
            <w:tcBorders/>
            <w:tcW w:w="5145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拉伸强度/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(N/cm)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542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≥2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383"/>
        </w:trPr>
        <w:tc>
          <w:tcPr>
            <w:gridSpan w:val="2"/>
            <w:tcBorders/>
            <w:tcW w:w="5145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断裂伸长率/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%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3542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5589"/>
              </w:tabs>
              <w:spacing w:line="360" w:lineRule="auto"/>
              <w:ind w:firstLine="22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00~180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</w:tbl>
    <w:p>
      <w:pPr>
        <w:pBdr/>
        <w:tabs>
          <w:tab w:val="center" w:leader="none" w:pos="5589"/>
        </w:tabs>
        <w:spacing w:line="360" w:lineRule="auto"/>
        <w:ind w:firstLine="446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5.储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存条件</w:t>
      </w:r>
      <w:r>
        <w:rPr>
          <w:rFonts w:hint="eastAsia" w:ascii="宋体" w:hAnsi="宋体" w:eastAsia="宋体" w:cs="宋体"/>
          <w:b/>
          <w:bCs/>
          <w:sz w:val="21"/>
          <w:szCs w:val="21"/>
        </w:rPr>
      </w:r>
      <w:r>
        <w:rPr>
          <w:rFonts w:hint="eastAsia" w:ascii="宋体" w:hAnsi="宋体" w:eastAsia="宋体" w:cs="宋体"/>
          <w:b/>
          <w:bCs/>
          <w:sz w:val="21"/>
          <w:szCs w:val="21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储存期限：从买方收货之日起2年。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储存温度：5-38度。 避免在日光直射、低温（0度以下）、高温（40度以上）、高湿（70%RH以上）环境下放置。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6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6.使用温度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产品贴合后可在-20°至120°下正常使用。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2024-08-26T06:47:41Z</dcterms:created>
  <dcterms:modified xsi:type="dcterms:W3CDTF">2024-08-26T06:49:11Z</dcterms:modified>
</cp:coreProperties>
</file>