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hint="eastAsia"/>
          <w:b/>
          <w:bCs/>
          <w:highlight w:val="none"/>
          <w:lang w:eastAsia="zh-CN"/>
        </w:rPr>
      </w:pPr>
      <w:r>
        <w:rPr>
          <w:rFonts w:hint="eastAsia"/>
          <w:b/>
          <w:bCs/>
          <w:lang w:eastAsia="zh-CN"/>
        </w:rPr>
        <w:t xml:space="preserve">我公司完全响应以下要求</w:t>
      </w:r>
      <w:r>
        <w:rPr>
          <w:rFonts w:hint="eastAsia"/>
          <w:b/>
          <w:bCs/>
          <w:lang w:eastAsia="zh-CN"/>
        </w:rPr>
      </w:r>
      <w:r>
        <w:rPr>
          <w:rFonts w:hint="eastAsia"/>
          <w:b/>
          <w:bCs/>
          <w:lang w:eastAsia="zh-CN"/>
        </w:rPr>
      </w:r>
    </w:p>
    <w:p>
      <w:pPr>
        <w:pBdr/>
        <w:spacing/>
        <w:ind/>
        <w:jc w:val="center"/>
        <w:rPr>
          <w:rFonts w:hint="eastAsia"/>
          <w:b/>
          <w:bCs/>
          <w:lang w:eastAsia="zh-CN"/>
        </w:rPr>
      </w:pPr>
      <w:r>
        <w:rPr>
          <w:rFonts w:hint="eastAsia"/>
          <w:b/>
          <w:bCs/>
          <w:highlight w:val="none"/>
          <w:lang w:eastAsia="zh-CN"/>
        </w:rPr>
      </w:r>
      <w:r>
        <w:rPr>
          <w:rFonts w:hint="eastAsia"/>
          <w:b/>
          <w:bCs/>
          <w:highlight w:val="none"/>
          <w:lang w:eastAsia="zh-CN"/>
        </w:rPr>
      </w:r>
    </w:p>
    <w:tbl>
      <w:tblPr>
        <w:tblW w:w="5000" w:type="pct"/>
        <w:tblBorders>
          <w:top w:val="single" w:color="000000" w:sz="4" w:space="0"/>
          <w:left w:val="single" w:color="000000" w:sz="4" w:space="0"/>
          <w:bottom w:val="single" w:color="000000" w:sz="4" w:space="0"/>
          <w:right w:val="single" w:color="000000" w:sz="4" w:space="0"/>
        </w:tblBorders>
        <w:tblLook w:val="0000" w:firstRow="0" w:lastRow="0" w:firstColumn="0" w:lastColumn="0" w:noHBand="0" w:noVBand="0"/>
      </w:tblPr>
      <w:tblGrid>
        <w:gridCol w:w="1187"/>
        <w:gridCol w:w="890"/>
        <w:gridCol w:w="2114"/>
        <w:gridCol w:w="4105"/>
      </w:tblGrid>
      <w:tr>
        <w:trPr/>
        <w:tc>
          <w:tcPr>
            <w:gridSpan w:val="2"/>
            <w:tcBorders>
              <w:top w:val="single" w:color="000000" w:sz="4" w:space="0"/>
              <w:left w:val="single" w:color="000000" w:sz="4" w:space="0"/>
              <w:bottom w:val="single" w:color="000000" w:sz="4" w:space="0"/>
              <w:right w:val="single" w:color="000000" w:sz="4" w:space="0"/>
            </w:tcBorders>
            <w:tcW w:w="1102" w:type="pct"/>
            <w:vAlign w:val="center"/>
            <w:textDirection w:val="lrTb"/>
            <w:noWrap w:val="false"/>
          </w:tcPr>
          <w:p>
            <w:pPr>
              <w:pStyle w:val="1_634"/>
              <w:pBdr/>
              <w:spacing/>
              <w:ind w:firstLine="446"/>
              <w:rPr>
                <w:rFonts w:hint="eastAsia" w:ascii="宋体" w:hAnsi="宋体" w:eastAsia="宋体"/>
                <w:b/>
                <w:szCs w:val="24"/>
              </w:rPr>
            </w:pPr>
            <w:r>
              <w:rPr>
                <w:rFonts w:hint="eastAsia" w:ascii="宋体" w:hAnsi="宋体" w:eastAsia="宋体"/>
                <w:b/>
                <w:szCs w:val="24"/>
              </w:rPr>
              <w:t xml:space="preserve">条款号</w:t>
            </w:r>
            <w:r>
              <w:rPr>
                <w:rFonts w:hint="eastAsia" w:ascii="宋体" w:hAnsi="宋体" w:eastAsia="宋体"/>
                <w:b/>
                <w:szCs w:val="24"/>
              </w:rPr>
            </w:r>
            <w:r>
              <w:rPr>
                <w:rFonts w:hint="eastAsia" w:ascii="宋体" w:hAnsi="宋体" w:eastAsia="宋体"/>
                <w:b/>
                <w:szCs w:val="24"/>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4"/>
              <w:pBdr/>
              <w:spacing/>
              <w:ind w:firstLine="446"/>
              <w:rPr>
                <w:rFonts w:hint="eastAsia" w:ascii="宋体" w:hAnsi="宋体" w:eastAsia="宋体"/>
                <w:b/>
                <w:szCs w:val="24"/>
              </w:rPr>
            </w:pPr>
            <w:r>
              <w:rPr>
                <w:rFonts w:hint="eastAsia" w:ascii="宋体" w:hAnsi="宋体" w:eastAsia="宋体"/>
                <w:b/>
                <w:szCs w:val="24"/>
              </w:rPr>
              <w:t xml:space="preserve">评审因素</w:t>
            </w:r>
            <w:r>
              <w:rPr>
                <w:rFonts w:hint="eastAsia" w:ascii="宋体" w:hAnsi="宋体" w:eastAsia="宋体"/>
                <w:b/>
                <w:szCs w:val="24"/>
              </w:rPr>
            </w:r>
            <w:r>
              <w:rPr>
                <w:rFonts w:hint="eastAsia" w:ascii="宋体" w:hAnsi="宋体" w:eastAsia="宋体"/>
                <w:b/>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4"/>
              <w:pBdr/>
              <w:spacing/>
              <w:ind w:firstLine="446"/>
              <w:rPr>
                <w:rFonts w:hint="eastAsia" w:ascii="宋体" w:hAnsi="宋体" w:eastAsia="宋体"/>
                <w:b/>
                <w:szCs w:val="24"/>
              </w:rPr>
            </w:pPr>
            <w:r>
              <w:rPr>
                <w:rFonts w:hint="eastAsia" w:ascii="宋体" w:hAnsi="宋体" w:eastAsia="宋体"/>
                <w:b/>
                <w:szCs w:val="24"/>
              </w:rPr>
              <w:t xml:space="preserve">评审标准</w:t>
            </w:r>
            <w:r>
              <w:rPr>
                <w:rFonts w:hint="eastAsia" w:ascii="宋体" w:hAnsi="宋体" w:eastAsia="宋体"/>
                <w:b/>
                <w:szCs w:val="24"/>
              </w:rPr>
            </w:r>
            <w:r>
              <w:rPr>
                <w:rFonts w:hint="eastAsia" w:ascii="宋体" w:hAnsi="宋体" w:eastAsia="宋体"/>
                <w:b/>
                <w:szCs w:val="24"/>
              </w:rPr>
            </w:r>
          </w:p>
        </w:tc>
      </w:tr>
      <w:tr>
        <w:trPr>
          <w:trHeight w:val="1474"/>
        </w:trPr>
        <w:tc>
          <w:tcPr>
            <w:tcBorders>
              <w:top w:val="single" w:color="000000" w:sz="4" w:space="0"/>
              <w:left w:val="single" w:color="000000" w:sz="4" w:space="0"/>
              <w:bottom w:val="single" w:color="000000" w:sz="4" w:space="0"/>
              <w:right w:val="single" w:color="000000" w:sz="4" w:space="0"/>
            </w:tcBorders>
            <w:tcW w:w="490" w:type="pct"/>
            <w:vAlign w:val="center"/>
            <w:textDirection w:val="lrTb"/>
            <w:noWrap w:val="false"/>
          </w:tcPr>
          <w:p>
            <w:pPr>
              <w:pStyle w:val="1_633"/>
              <w:pBdr/>
              <w:spacing/>
              <w:ind w:firstLine="444"/>
              <w:rPr>
                <w:rFonts w:hint="eastAsia" w:eastAsia="宋体"/>
                <w:szCs w:val="24"/>
              </w:rPr>
            </w:pPr>
            <w:r>
              <w:rPr>
                <w:rFonts w:hint="eastAsia" w:eastAsia="宋体"/>
                <w:szCs w:val="24"/>
              </w:rPr>
              <w:t xml:space="preserve">1</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612" w:type="pct"/>
            <w:vAlign w:val="center"/>
            <w:textDirection w:val="lrTb"/>
            <w:noWrap w:val="false"/>
          </w:tcPr>
          <w:p>
            <w:pPr>
              <w:pStyle w:val="1_633"/>
              <w:pBdr/>
              <w:spacing/>
              <w:ind/>
              <w:jc w:val="left"/>
              <w:rPr>
                <w:rFonts w:hint="eastAsia" w:eastAsia="宋体"/>
                <w:szCs w:val="24"/>
              </w:rPr>
            </w:pPr>
            <w:r>
              <w:rPr>
                <w:rFonts w:hint="eastAsia" w:eastAsia="宋体"/>
                <w:szCs w:val="24"/>
              </w:rPr>
              <w:t xml:space="preserve">评标方法</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中标候选人排序方法</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授予经评标委员会根据最低投标价法评比后评标价最低的中标候选人，评标价相同的业绩好者优先，评标价排名第二、三的供应商为备选供应商。</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restart"/>
            <w:textDirection w:val="lrTb"/>
            <w:noWrap w:val="false"/>
          </w:tcPr>
          <w:p>
            <w:pPr>
              <w:pStyle w:val="1_633"/>
              <w:pBdr/>
              <w:spacing/>
              <w:ind w:firstLine="444"/>
              <w:rPr>
                <w:rFonts w:hint="eastAsia" w:eastAsia="宋体"/>
                <w:szCs w:val="24"/>
              </w:rPr>
            </w:pPr>
            <w:r>
              <w:rPr>
                <w:rFonts w:hint="eastAsia" w:eastAsia="宋体"/>
                <w:szCs w:val="24"/>
              </w:rPr>
              <w:t xml:space="preserve">2.1.1</w:t>
            </w:r>
            <w:r>
              <w:rPr>
                <w:rFonts w:hint="eastAsia" w:eastAsia="宋体"/>
                <w:szCs w:val="24"/>
              </w:rPr>
            </w:r>
            <w:r>
              <w:rPr>
                <w:rFonts w:hint="eastAsia" w:eastAsia="宋体"/>
                <w:szCs w:val="24"/>
              </w:rPr>
            </w:r>
          </w:p>
        </w:tc>
        <w:tc>
          <w:tcPr>
            <w:tcBorders>
              <w:top w:val="single" w:color="000000" w:sz="4" w:space="0"/>
              <w:left w:val="none" w:color="000000" w:sz="4" w:space="0"/>
              <w:bottom w:val="none" w:color="000000" w:sz="4" w:space="0"/>
              <w:right w:val="single" w:color="000000" w:sz="4" w:space="0"/>
            </w:tcBorders>
            <w:tcW w:w="612" w:type="pct"/>
            <w:vAlign w:val="center"/>
            <w:vMerge w:val="restart"/>
            <w:textDirection w:val="lrTb"/>
            <w:noWrap w:val="false"/>
          </w:tcPr>
          <w:p>
            <w:pPr>
              <w:pStyle w:val="1_633"/>
              <w:pBdr/>
              <w:spacing/>
              <w:ind/>
              <w:jc w:val="left"/>
              <w:rPr>
                <w:rFonts w:hint="eastAsia" w:eastAsia="宋体"/>
                <w:szCs w:val="24"/>
              </w:rPr>
            </w:pPr>
            <w:r>
              <w:rPr>
                <w:rFonts w:hint="eastAsia" w:eastAsia="宋体"/>
                <w:szCs w:val="24"/>
              </w:rPr>
              <w:t xml:space="preserve">形式评审标准</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投标人名称</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与营业执照（事业单位法人证书）、资质证书一致</w:t>
            </w:r>
            <w:r>
              <w:rPr>
                <w:rFonts w:hint="eastAsia"/>
                <w:szCs w:val="24"/>
                <w:lang w:eastAsia="zh-CN"/>
              </w:rPr>
            </w:r>
            <w:r>
              <w:rPr>
                <w:rFonts w:hint="eastAsia"/>
                <w:szCs w:val="24"/>
                <w:lang w:eastAsia="zh-CN"/>
              </w:rPr>
            </w:r>
          </w:p>
        </w:tc>
      </w:tr>
      <w:tr>
        <w:trPr>
          <w:cantSplit/>
        </w:trPr>
        <w:tc>
          <w:tcPr>
            <w:tcBorders>
              <w:top w:val="non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none" w:color="000000" w:sz="4" w:space="0"/>
              <w:left w:val="none" w:color="000000" w:sz="4" w:space="0"/>
              <w:bottom w:val="non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投标函签字盖章</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r>
              <w:rPr>
                <w:rFonts w:hint="eastAsia"/>
                <w:szCs w:val="24"/>
                <w:lang w:eastAsia="zh-CN"/>
              </w:rPr>
            </w:r>
            <w:r>
              <w:rPr>
                <w:rFonts w:hint="eastAsia"/>
                <w:szCs w:val="24"/>
                <w:lang w:eastAsia="zh-CN"/>
              </w:rPr>
            </w:r>
          </w:p>
        </w:tc>
      </w:tr>
      <w:tr>
        <w:trPr>
          <w:cantSplit/>
        </w:trPr>
        <w:tc>
          <w:tcPr>
            <w:tcBorders>
              <w:top w:val="non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none" w:color="000000" w:sz="4" w:space="0"/>
              <w:left w:val="none" w:color="000000" w:sz="4" w:space="0"/>
              <w:bottom w:val="non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投标文件格式</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符合第六章“投标文件格式”的规定</w:t>
            </w:r>
            <w:r>
              <w:rPr>
                <w:rFonts w:hint="eastAsia"/>
                <w:szCs w:val="24"/>
                <w:lang w:eastAsia="zh-CN"/>
              </w:rPr>
            </w:r>
            <w:r>
              <w:rPr>
                <w:rFonts w:hint="eastAsia"/>
                <w:szCs w:val="24"/>
                <w:lang w:eastAsia="zh-CN"/>
              </w:rPr>
            </w:r>
          </w:p>
        </w:tc>
      </w:tr>
      <w:tr>
        <w:trPr>
          <w:cantSplit/>
        </w:trPr>
        <w:tc>
          <w:tcPr>
            <w:tcBorders>
              <w:top w:val="non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none" w:color="000000" w:sz="4" w:space="0"/>
              <w:left w:val="none" w:color="000000" w:sz="4" w:space="0"/>
              <w:bottom w:val="non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联合体投标人</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提交符合招标文件要求的联合体协议书，明确各方承担连带责任，并明确联合体牵头人</w:t>
            </w:r>
            <w:r>
              <w:rPr>
                <w:rFonts w:hint="eastAsia"/>
                <w:szCs w:val="24"/>
                <w:lang w:eastAsia="zh-CN"/>
              </w:rPr>
            </w:r>
            <w:r>
              <w:rPr>
                <w:rFonts w:hint="eastAsia"/>
                <w:szCs w:val="24"/>
                <w:lang w:eastAsia="zh-CN"/>
              </w:rPr>
            </w:r>
          </w:p>
        </w:tc>
      </w:tr>
      <w:tr>
        <w:trPr>
          <w:cantSplit/>
        </w:trPr>
        <w:tc>
          <w:tcPr>
            <w:tcBorders>
              <w:top w:val="non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none" w:color="000000" w:sz="4" w:space="0"/>
              <w:left w:val="none" w:color="000000" w:sz="4" w:space="0"/>
              <w:bottom w:val="non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备选投标方案</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除招标文件明确允许提交备选投标方案外，投标人不得提交备选投标方案</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restart"/>
            <w:textDirection w:val="lrTb"/>
            <w:noWrap w:val="false"/>
          </w:tcPr>
          <w:p>
            <w:pPr>
              <w:pStyle w:val="1_633"/>
              <w:pBdr/>
              <w:spacing/>
              <w:ind w:firstLine="444"/>
              <w:rPr>
                <w:rFonts w:hint="eastAsia" w:eastAsia="宋体"/>
                <w:szCs w:val="24"/>
              </w:rPr>
            </w:pPr>
            <w:r>
              <w:rPr>
                <w:rFonts w:hint="eastAsia" w:eastAsia="宋体"/>
                <w:szCs w:val="24"/>
              </w:rPr>
              <w:t xml:space="preserve">2.1.2</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612" w:type="pct"/>
            <w:vAlign w:val="center"/>
            <w:vMerge w:val="restart"/>
            <w:textDirection w:val="lrTb"/>
            <w:noWrap w:val="false"/>
          </w:tcPr>
          <w:p>
            <w:pPr>
              <w:pStyle w:val="1_633"/>
              <w:pBdr/>
              <w:spacing/>
              <w:ind/>
              <w:jc w:val="left"/>
              <w:rPr>
                <w:rFonts w:hint="eastAsia" w:eastAsia="宋体"/>
                <w:szCs w:val="24"/>
              </w:rPr>
            </w:pPr>
            <w:r>
              <w:rPr>
                <w:rFonts w:hint="eastAsia" w:eastAsia="宋体"/>
                <w:szCs w:val="24"/>
              </w:rPr>
              <w:t xml:space="preserve">资格评审标准</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lang w:eastAsia="zh-CN"/>
              </w:rPr>
            </w:pPr>
            <w:r>
              <w:rPr>
                <w:rFonts w:hint="eastAsia"/>
                <w:szCs w:val="24"/>
                <w:lang w:eastAsia="zh-CN"/>
              </w:rPr>
              <w:t xml:space="preserve">营业执照（事业单位法人证书）和组织机构代码证</w:t>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符合第二章“投标人须知”第3.5.1项规定，具备有效的营业执照（事业单位法人证书）和组织机构代码证</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资质要求</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财务要求</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业绩要求</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Height w:val="325"/>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信誉要求</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其他要求</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联合体投标人</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符合第二章“投标人须知”第1.4.2项规定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lang w:eastAsia="zh-CN"/>
              </w:rPr>
            </w:pPr>
            <w:r>
              <w:rPr>
                <w:rFonts w:hint="eastAsia"/>
                <w:szCs w:val="24"/>
                <w:lang w:eastAsia="zh-CN"/>
              </w:rPr>
              <w:t xml:space="preserve">不存在禁止投标的情形</w:t>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不存在第二章“投标人须知”第1.4.3项规定的任何一种情形</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lang w:eastAsia="zh-CN"/>
              </w:rPr>
            </w:pPr>
            <w:r>
              <w:rPr>
                <w:rFonts w:hint="eastAsia"/>
                <w:szCs w:val="24"/>
                <w:lang w:eastAsia="zh-CN"/>
              </w:rPr>
              <w:t xml:space="preserve">投标材料制造商的资质要求（如有）</w:t>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3"/>
              <w:pBdr/>
              <w:spacing/>
              <w:ind w:firstLine="444"/>
              <w:rPr>
                <w:rFonts w:hint="eastAsia" w:eastAsia="宋体"/>
                <w:szCs w:val="24"/>
                <w:lang w:eastAsia="zh-CN"/>
              </w:rPr>
            </w:pPr>
            <w:r>
              <w:rPr>
                <w:rFonts w:hint="eastAsia" w:eastAsia="宋体"/>
                <w:szCs w:val="24"/>
                <w:lang w:eastAsia="zh-CN"/>
              </w:rPr>
            </w:r>
            <w:r>
              <w:rPr>
                <w:rFonts w:hint="eastAsia" w:eastAsia="宋体"/>
                <w:szCs w:val="24"/>
                <w:lang w:eastAsia="zh-CN"/>
              </w:rPr>
            </w:r>
            <w:r>
              <w:rPr>
                <w:rFonts w:hint="eastAsia" w:eastAsia="宋体"/>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lang w:eastAsia="zh-CN"/>
              </w:rPr>
            </w:pPr>
            <w:r>
              <w:rPr>
                <w:rFonts w:hint="eastAsia"/>
                <w:szCs w:val="24"/>
                <w:lang w:eastAsia="zh-CN"/>
              </w:rPr>
              <w:t xml:space="preserve">投标材料的业绩要求（如有）</w:t>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restart"/>
            <w:textDirection w:val="lrTb"/>
            <w:noWrap w:val="false"/>
          </w:tcPr>
          <w:p>
            <w:pPr>
              <w:pStyle w:val="1_633"/>
              <w:pBdr/>
              <w:spacing/>
              <w:ind w:firstLine="444"/>
              <w:rPr>
                <w:rFonts w:hint="eastAsia" w:eastAsia="宋体"/>
                <w:szCs w:val="24"/>
              </w:rPr>
            </w:pPr>
            <w:r>
              <w:rPr>
                <w:rFonts w:hint="eastAsia" w:eastAsia="宋体"/>
                <w:szCs w:val="24"/>
              </w:rPr>
              <w:t xml:space="preserve">2.1.3</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612" w:type="pct"/>
            <w:vAlign w:val="center"/>
            <w:vMerge w:val="restart"/>
            <w:textDirection w:val="lrTb"/>
            <w:noWrap w:val="false"/>
          </w:tcPr>
          <w:p>
            <w:pPr>
              <w:pStyle w:val="1_633"/>
              <w:pBdr/>
              <w:spacing/>
              <w:ind/>
              <w:jc w:val="left"/>
              <w:rPr>
                <w:rFonts w:hint="eastAsia" w:eastAsia="宋体"/>
                <w:szCs w:val="24"/>
              </w:rPr>
            </w:pPr>
            <w:r>
              <w:rPr>
                <w:rFonts w:hint="eastAsia" w:eastAsia="宋体"/>
                <w:szCs w:val="24"/>
              </w:rPr>
              <w:t xml:space="preserve">响应性评审标准</w:t>
            </w:r>
            <w:r>
              <w:rPr>
                <w:rFonts w:hint="eastAsia" w:eastAsia="宋体"/>
                <w:szCs w:val="24"/>
              </w:rPr>
            </w:r>
            <w:r>
              <w:rPr>
                <w:rFonts w:hint="eastAsia" w:eastAsia="宋体"/>
                <w:szCs w:val="24"/>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投标报价</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符合第二章“投标人须知”第3.2款规定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投标内容</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符合第二章“投标人须知”第1.3.1项规定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交货期</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符合第二章“投标人须知”第1.3.2项规定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交货地点</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符合第二章“投标人须知”第1.3.3项规定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vAlign w:val="center"/>
            <w:textDirection w:val="lrTb"/>
            <w:noWrap w:val="false"/>
          </w:tcPr>
          <w:p>
            <w:pPr>
              <w:pStyle w:val="1_635"/>
              <w:pBdr/>
              <w:spacing/>
              <w:ind w:firstLine="444"/>
              <w:jc w:val="center"/>
              <w:rPr>
                <w:rFonts w:hint="eastAsia"/>
                <w:szCs w:val="24"/>
              </w:rPr>
            </w:pPr>
            <w:r>
              <w:rPr>
                <w:rFonts w:hint="eastAsia"/>
                <w:szCs w:val="24"/>
              </w:rPr>
              <w:t xml:space="preserve">质量要求</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vAlign w:val="center"/>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符合第二章“投标人须知”第1.3.4项规定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textDirection w:val="lrTb"/>
            <w:noWrap w:val="false"/>
          </w:tcPr>
          <w:p>
            <w:pPr>
              <w:pStyle w:val="1_635"/>
              <w:pBdr/>
              <w:spacing/>
              <w:ind w:firstLine="444"/>
              <w:jc w:val="center"/>
              <w:rPr>
                <w:rFonts w:hint="eastAsia"/>
                <w:szCs w:val="24"/>
              </w:rPr>
            </w:pPr>
            <w:r>
              <w:rPr>
                <w:rFonts w:hint="eastAsia"/>
                <w:szCs w:val="24"/>
              </w:rPr>
              <w:t xml:space="preserve">投标有效期</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符合第二章“投标人须知”第3.3.1项规定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textDirection w:val="lrTb"/>
            <w:noWrap w:val="false"/>
          </w:tcPr>
          <w:p>
            <w:pPr>
              <w:pStyle w:val="1_635"/>
              <w:pBdr/>
              <w:spacing/>
              <w:ind w:firstLine="444"/>
              <w:jc w:val="center"/>
              <w:rPr>
                <w:rFonts w:hint="eastAsia"/>
                <w:szCs w:val="24"/>
              </w:rPr>
            </w:pPr>
            <w:r>
              <w:rPr>
                <w:rFonts w:hint="eastAsia"/>
                <w:szCs w:val="24"/>
              </w:rPr>
              <w:t xml:space="preserve">投标保证金</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符合第二章“投标人须知”第3.4.1项规定</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textDirection w:val="lrTb"/>
            <w:noWrap w:val="false"/>
          </w:tcPr>
          <w:p>
            <w:pPr>
              <w:pStyle w:val="1_635"/>
              <w:pBdr/>
              <w:spacing/>
              <w:ind w:firstLine="444"/>
              <w:jc w:val="center"/>
              <w:rPr>
                <w:rFonts w:hint="eastAsia"/>
                <w:szCs w:val="24"/>
              </w:rPr>
            </w:pPr>
            <w:r>
              <w:rPr>
                <w:rFonts w:hint="eastAsia"/>
                <w:szCs w:val="24"/>
              </w:rPr>
              <w:t xml:space="preserve">权利义务</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符合第二章“投标人须知”第1.11.1项规定和第四章“合同条款及格式”中的实质性要求和条件</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textDirection w:val="lrTb"/>
            <w:noWrap w:val="false"/>
          </w:tcPr>
          <w:p>
            <w:pPr>
              <w:pStyle w:val="1_635"/>
              <w:pBdr/>
              <w:spacing/>
              <w:ind w:firstLine="444"/>
              <w:jc w:val="center"/>
              <w:rPr>
                <w:rFonts w:hint="eastAsia"/>
                <w:szCs w:val="24"/>
              </w:rPr>
            </w:pPr>
            <w:r>
              <w:rPr>
                <w:rFonts w:hint="eastAsia"/>
                <w:szCs w:val="24"/>
              </w:rPr>
              <w:t xml:space="preserve">投标材料及相关服务</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符合第五章“供货要求”中的实质性要求和条件</w:t>
            </w:r>
            <w:r>
              <w:rPr>
                <w:rFonts w:hint="eastAsia"/>
                <w:szCs w:val="24"/>
                <w:lang w:eastAsia="zh-CN"/>
              </w:rPr>
            </w:r>
            <w:r>
              <w:rPr>
                <w:rFonts w:hint="eastAsia"/>
                <w:szCs w:val="24"/>
                <w:lang w:eastAsia="zh-CN"/>
              </w:rPr>
            </w:r>
          </w:p>
        </w:tc>
      </w:tr>
      <w:tr>
        <w:trPr>
          <w:cantSplit/>
        </w:trPr>
        <w:tc>
          <w:tcPr>
            <w:tcBorders>
              <w:top w:val="single" w:color="000000" w:sz="4" w:space="0"/>
              <w:left w:val="single" w:color="000000" w:sz="4" w:space="0"/>
              <w:bottom w:val="single" w:color="000000" w:sz="4" w:space="0"/>
              <w:right w:val="single" w:color="000000" w:sz="4" w:space="0"/>
            </w:tcBorders>
            <w:tcW w:w="490"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612" w:type="pct"/>
            <w:vAlign w:val="center"/>
            <w:vMerge w:val="continue"/>
            <w:textDirection w:val="lrTb"/>
            <w:noWrap w:val="false"/>
          </w:tcPr>
          <w:p>
            <w:pPr>
              <w:pStyle w:val="1_635"/>
              <w:pBdr/>
              <w:spacing/>
              <w:ind w:firstLine="444"/>
              <w:jc w:val="center"/>
              <w:rPr>
                <w:rFonts w:hint="eastAsia"/>
                <w:szCs w:val="24"/>
                <w:lang w:eastAsia="zh-CN"/>
              </w:rPr>
            </w:pPr>
            <w:r>
              <w:rPr>
                <w:rFonts w:hint="eastAsia"/>
                <w:szCs w:val="24"/>
                <w:lang w:eastAsia="zh-CN"/>
              </w:rPr>
            </w:r>
            <w:r>
              <w:rPr>
                <w:rFonts w:hint="eastAsia"/>
                <w:szCs w:val="24"/>
                <w:lang w:eastAsia="zh-CN"/>
              </w:rPr>
            </w:r>
            <w:r>
              <w:rPr>
                <w:rFonts w:hint="eastAsia"/>
                <w:szCs w:val="24"/>
                <w:lang w:eastAsia="zh-CN"/>
              </w:rPr>
            </w:r>
          </w:p>
        </w:tc>
        <w:tc>
          <w:tcPr>
            <w:tcBorders>
              <w:top w:val="single" w:color="000000" w:sz="4" w:space="0"/>
              <w:left w:val="single" w:color="000000" w:sz="4" w:space="0"/>
              <w:bottom w:val="single" w:color="000000" w:sz="4" w:space="0"/>
              <w:right w:val="single" w:color="000000" w:sz="4" w:space="0"/>
            </w:tcBorders>
            <w:tcW w:w="1349" w:type="pct"/>
            <w:textDirection w:val="lrTb"/>
            <w:noWrap w:val="false"/>
          </w:tcPr>
          <w:p>
            <w:pPr>
              <w:pStyle w:val="1_635"/>
              <w:pBdr/>
              <w:spacing/>
              <w:ind w:firstLine="444"/>
              <w:jc w:val="center"/>
              <w:rPr>
                <w:rFonts w:hint="eastAsia"/>
                <w:szCs w:val="24"/>
              </w:rPr>
            </w:pPr>
            <w:r>
              <w:rPr>
                <w:rFonts w:hint="eastAsia"/>
                <w:szCs w:val="24"/>
              </w:rPr>
              <w:t xml:space="preserve">技术支持资料</w:t>
            </w:r>
            <w:r>
              <w:rPr>
                <w:rFonts w:hint="eastAsia"/>
                <w:szCs w:val="24"/>
              </w:rPr>
            </w:r>
            <w:r>
              <w:rPr>
                <w:rFonts w:hint="eastAsia"/>
                <w:szCs w:val="24"/>
              </w:rPr>
            </w:r>
          </w:p>
        </w:tc>
        <w:tc>
          <w:tcPr>
            <w:tcBorders>
              <w:top w:val="single" w:color="000000" w:sz="4" w:space="0"/>
              <w:left w:val="single" w:color="000000" w:sz="4" w:space="0"/>
              <w:bottom w:val="single" w:color="000000" w:sz="4" w:space="0"/>
              <w:right w:val="single" w:color="000000" w:sz="4" w:space="0"/>
            </w:tcBorders>
            <w:tcW w:w="2549" w:type="pct"/>
            <w:textDirection w:val="lrTb"/>
            <w:noWrap w:val="false"/>
          </w:tcPr>
          <w:p>
            <w:pPr>
              <w:pStyle w:val="1_635"/>
              <w:pBdr/>
              <w:spacing/>
              <w:ind/>
              <w:rPr>
                <w:rFonts w:hint="eastAsia"/>
                <w:szCs w:val="24"/>
                <w:lang w:eastAsia="zh-CN"/>
              </w:rPr>
            </w:pPr>
            <w:r>
              <w:rPr>
                <w:rFonts w:hint="eastAsia"/>
                <w:szCs w:val="24"/>
                <w:lang w:eastAsia="zh-CN"/>
              </w:rPr>
              <w:t xml:space="preserve">符合第二章“投标人须知”第1.11.3项规定</w:t>
            </w:r>
            <w:r>
              <w:rPr>
                <w:rFonts w:hint="eastAsia"/>
                <w:szCs w:val="24"/>
                <w:lang w:eastAsia="zh-CN"/>
              </w:rPr>
            </w:r>
            <w:r>
              <w:rPr>
                <w:rFonts w:hint="eastAsia"/>
                <w:szCs w:val="24"/>
                <w:lang w:eastAsia="zh-CN"/>
              </w:rPr>
            </w:r>
          </w:p>
        </w:tc>
      </w:tr>
    </w:tbl>
    <w:p>
      <w:pPr>
        <w:pBdr/>
        <w:spacing/>
        <w:ind/>
        <w:rPr>
          <w:rFonts w:hint="eastAsia"/>
          <w:lang w:eastAsia="zh-CN"/>
        </w:rPr>
      </w:pPr>
      <w:r>
        <w:rPr>
          <w:rFonts w:hint="eastAsia"/>
          <w:lang w:eastAsia="zh-CN"/>
        </w:rPr>
      </w:r>
      <w:r>
        <w:rPr>
          <w:rFonts w:hint="eastAsia"/>
          <w:lang w:eastAsia="zh-CN"/>
        </w:rPr>
      </w:r>
      <w:r>
        <w:rPr>
          <w:rFonts w:hint="eastAsia"/>
          <w:lang w:eastAsia="zh-CN"/>
        </w:r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Times New Roman">
    <w:panose1 w:val="02020603050405020304"/>
  </w:font>
  <w:font w:name="黑体">
    <w:panose1 w:val="02010609000101010101"/>
  </w:font>
  <w:font w:name="方正黑体简体">
    <w:panose1 w:val="0200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_634" w:customStyle="1">
    <w:name w:val="表内列标题"/>
    <w:basedOn w:val="702"/>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spacing w:after="0" w:afterAutospacing="0" w:before="0" w:beforeAutospacing="0" w:line="320" w:lineRule="atLeast"/>
      <w:ind w:right="0" w:firstLine="0" w:left="0"/>
      <w:contextualSpacing w:val="false"/>
      <w:jc w:val="center"/>
    </w:pPr>
    <w:rPr>
      <w:rFonts w:ascii="方正黑体简体" w:hAnsi="黑体" w:eastAsia="方正黑体简体" w:cs="Times New Roman"/>
      <w:b w:val="0"/>
      <w:bCs w:val="0"/>
      <w:i w:val="0"/>
      <w:iCs w:val="0"/>
      <w:caps w:val="0"/>
      <w:smallCaps w:val="0"/>
      <w:strike w:val="0"/>
      <w:vanish w:val="0"/>
      <w:color w:val="auto"/>
      <w:spacing w:val="2"/>
      <w:position w:val="0"/>
      <w:sz w:val="21"/>
      <w:szCs w:val="22"/>
      <w:highlight w:val="none"/>
      <w:u w:val="none"/>
      <w:vertAlign w:val="baseline"/>
      <w:rtl w:val="0"/>
      <w:cs w:val="0"/>
      <w:lang w:val="en-US" w:eastAsia="en-US" w:bidi="en-US"/>
      <w14:ligatures w14:val="none"/>
    </w:rPr>
  </w:style>
  <w:style w:type="paragraph" w:styleId="1_633" w:customStyle="1">
    <w:name w:val="表内左两列正文"/>
    <w:basedOn w:val="702"/>
    <w:link w:val="729"/>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spacing w:after="0" w:afterAutospacing="0" w:before="0" w:beforeAutospacing="0" w:line="320" w:lineRule="exact"/>
      <w:ind w:right="0" w:firstLine="0" w:left="0"/>
      <w:contextualSpacing w:val="false"/>
      <w:jc w:val="center"/>
    </w:pPr>
    <w:rPr>
      <w:rFonts w:ascii="宋体" w:hAnsi="宋体" w:eastAsiaTheme="minorEastAsia" w:cstheme="minorBidi"/>
      <w:b w:val="0"/>
      <w:bCs w:val="0"/>
      <w:i w:val="0"/>
      <w:iCs w:val="0"/>
      <w:caps w:val="0"/>
      <w:smallCaps w:val="0"/>
      <w:strike w:val="0"/>
      <w:vanish w:val="0"/>
      <w:color w:val="auto"/>
      <w:spacing w:val="2"/>
      <w:position w:val="0"/>
      <w:sz w:val="21"/>
      <w:szCs w:val="21"/>
      <w:highlight w:val="none"/>
      <w:u w:val="none"/>
      <w:vertAlign w:val="baseline"/>
      <w:rtl w:val="0"/>
      <w:cs w:val="0"/>
      <w:lang w:val="en-US" w:eastAsia="en-US" w:bidi="en-US"/>
      <w14:ligatures w14:val="none"/>
    </w:rPr>
  </w:style>
  <w:style w:type="paragraph" w:styleId="1_635" w:customStyle="1">
    <w:name w:val="表内正文"/>
    <w:basedOn w:val="702"/>
    <w:link w:val="746"/>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spacing w:after="0" w:afterAutospacing="0" w:before="0" w:beforeAutospacing="0" w:line="320" w:lineRule="atLeast"/>
      <w:ind w:right="0" w:firstLine="0" w:left="0"/>
      <w:contextualSpacing w:val="false"/>
      <w:jc w:val="left"/>
    </w:pPr>
    <w:rPr>
      <w:rFonts w:ascii="宋体" w:hAnsi="宋体" w:eastAsia="宋体" w:cs="Times New Roman"/>
      <w:b w:val="0"/>
      <w:bCs w:val="0"/>
      <w:i w:val="0"/>
      <w:iCs w:val="0"/>
      <w:caps w:val="0"/>
      <w:smallCaps w:val="0"/>
      <w:strike w:val="0"/>
      <w:vanish w:val="0"/>
      <w:color w:val="auto"/>
      <w:spacing w:val="2"/>
      <w:position w:val="0"/>
      <w:sz w:val="21"/>
      <w:szCs w:val="21"/>
      <w:highlight w:val="none"/>
      <w:u w:val="none"/>
      <w:vertAlign w:val="baseline"/>
      <w:rtl w:val="0"/>
      <w:cs w:val="0"/>
      <w:lang w:val="en-US" w:eastAsia="en-US" w:bidi="en-US"/>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1</cp:revision>
  <dcterms:created xsi:type="dcterms:W3CDTF">2024-08-26T08:52:45Z</dcterms:created>
  <dcterms:modified xsi:type="dcterms:W3CDTF">2024-08-26T08:53:42Z</dcterms:modified>
</cp:coreProperties>
</file>