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投标人自律守则</w:t>
      </w:r>
    </w:p>
    <w:p>
      <w: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r>
        <w:t>五、严格遵守招标投标程序，按照要求缴纳投标保证金、中标服务费、履约保证金等；严格按中标条件签订和履行合同，不得将项目违法转包、违规分包。</w:t>
      </w:r>
    </w:p>
    <w:p>
      <w:r>
        <w:t>六、依法经营，公平竞争，不得采取虚假、诽谤、恶意投诉等违法或不正当手段损害、侵犯其它企业的正当权益。</w:t>
      </w:r>
    </w:p>
    <w:p>
      <w:r>
        <w:t>七、对违法和不公正行为投诉时，应当保证投诉内容及相应证明材料的真实合法</w:t>
      </w:r>
      <w:r>
        <w:t>。</w:t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2023-12-14T03:35:42Z</dcterms:created>
  <dc:creator>Apache POI</dc:creator>
</cp:coreProperties>
</file>