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应答：我公司承诺完全符合以下要求。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此次投标为非联合体投标。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1.</w:t>
      </w:r>
      <w:r>
        <w:rPr>
          <w:rFonts w:ascii="SimSun" w:hAnsi="SimSun" w:eastAsia="SimSun" w:cs="SimSun"/>
          <w:color w:val="000000"/>
          <w:sz w:val="21"/>
        </w:rPr>
        <w:t xml:space="preserve">满足《中华人民共和国政府采购法》第二十二条规定；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</w:t>
      </w:r>
      <w:r>
        <w:rPr>
          <w:rFonts w:ascii="SimSun" w:hAnsi="SimSun" w:eastAsia="SimSun" w:cs="SimSun"/>
          <w:color w:val="000000"/>
          <w:sz w:val="21"/>
        </w:rPr>
        <w:t xml:space="preserve">落实政府采购政策需满足的资格要求：因适用《政府采购促进中小企业发展管理办法》第六条第二款“（三）按照本办法规定预留采购份额无法确保充分供应、充分竞争，或者存在可能影响政府采购目标实现的情形”，因此不专门面向中小企业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3.</w:t>
      </w:r>
      <w:r>
        <w:rPr>
          <w:rFonts w:ascii="SimSun" w:hAnsi="SimSun" w:eastAsia="SimSun" w:cs="SimSun"/>
          <w:color w:val="000000"/>
          <w:sz w:val="21"/>
        </w:rPr>
        <w:t xml:space="preserve">本项目的特定资格要求：生产商投标需提供：医疗器械生产许可证或医疗器械生产备案凭证、医疗器械注册证；经销商投标需提供：所供产品归属Ⅱ类医疗器械管理的提供经营备案凭证，归属Ⅲ类医疗器械管理的提供医疗器械经营许可证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2025-02-17T05:26:16Z</dcterms:created>
  <dcterms:modified xsi:type="dcterms:W3CDTF">2025-02-17T05:26:34Z</dcterms:modified>
</cp:coreProperties>
</file>