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我公司本包别产品</w:t>
      </w:r>
      <w:r>
        <w:rPr>
          <w:rFonts w:ascii="SimSun" w:hAnsi="SimSun" w:eastAsia="SimSun" w:cs="SimSun"/>
          <w:b/>
          <w:color w:val="000000"/>
          <w:sz w:val="21"/>
        </w:rPr>
        <w:t xml:space="preserve">未</w:t>
      </w:r>
      <w:r>
        <w:rPr>
          <w:rFonts w:ascii="SimSun" w:hAnsi="SimSun" w:eastAsia="SimSun" w:cs="SimSun"/>
          <w:color w:val="000000"/>
          <w:sz w:val="21"/>
        </w:rPr>
        <w:t xml:space="preserve">因质量或其它原因在集团公司总部、辽河油田公司范围内通报处罚并处于处罚期内的。</w:t>
      </w:r>
      <w:r/>
    </w:p>
    <w:p>
      <w:pPr>
        <w:pBdr/>
        <w:spacing/>
        <w:ind/>
        <w:rPr/>
      </w:pPr>
      <w:r/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2024-10-06T08:19:56Z</dcterms:created>
  <dcterms:modified xsi:type="dcterms:W3CDTF">2024-10-06T08:20:19Z</dcterms:modified>
</cp:coreProperties>
</file>