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投标人股权情况（</w:t>
      </w:r>
      <w:r>
        <w:rPr>
          <w:rFonts w:ascii="仿宋" w:hAnsi="仿宋" w:eastAsia="仿宋" w:cs="仿宋"/>
          <w:i/>
          <w:color w:val="000000"/>
          <w:spacing w:val="6"/>
          <w:sz w:val="30"/>
        </w:rPr>
        <w:t xml:space="preserve">评审过程中将以“天眼查”相关信息核查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）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00101010101"/>
  </w:font>
  <w:font w:name="Symbol">
    <w:panose1 w:val="05010000000000000000"/>
  </w:font>
  <w:font w:name="方正黑体简体">
    <w:panose1 w:val="0200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4"/>
      </w:pPr>
      <w:rPr/>
      <w:start w:val="10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2025-02-21T01:53:11Z</dcterms:created>
  <dcterms:modified xsi:type="dcterms:W3CDTF">2025-02-21T01:53:21Z</dcterms:modified>
</cp:coreProperties>
</file>