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before="0" w:line="360"/>
        <w:ind w:right="880" w:firstLine="572" w:left="0"/>
        <w:jc w:val="center"/>
        <w:rPr/>
      </w:pPr>
      <w:r>
        <w:rPr>
          <w:rFonts w:ascii="SimHei" w:hAnsi="SimHei" w:eastAsia="SimHei" w:cs="SimHei"/>
          <w:b/>
          <w:color w:val="000000"/>
          <w:sz w:val="30"/>
        </w:rPr>
        <w:t xml:space="preserve">（二）近年供货业绩情况汇总表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23"/>
        <w:gridCol w:w="1089"/>
        <w:gridCol w:w="1089"/>
        <w:gridCol w:w="1089"/>
        <w:gridCol w:w="1531"/>
        <w:gridCol w:w="1089"/>
        <w:gridCol w:w="1256"/>
        <w:gridCol w:w="1039"/>
        <w:gridCol w:w="683"/>
      </w:tblGrid>
      <w:tr>
        <w:trPr>
          <w:trHeight w:val="53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买方名称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合同签订时间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合同金额（含税）（元）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含税发票金额合计（元）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合同中符合评审产品金额合计（元）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项目概况及履约情况</w:t>
            </w:r>
            <w:r/>
          </w:p>
        </w:tc>
        <w:tc>
          <w:tcPr>
            <w:tcBorders>
              <w:top w:val="single" w:color="000000" w:sz="12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备注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42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531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8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539"/>
        </w:trPr>
        <w:tc>
          <w:tcPr>
            <w:gridSpan w:val="6"/>
            <w:tcBorders>
              <w:top w:val="non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3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合同中符合评审产品的金额合计（元）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256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1039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12" w:space="0"/>
            </w:tcBorders>
            <w:tcMar>
              <w:left w:w="108" w:type="dxa"/>
              <w:top w:w="57" w:type="dxa"/>
              <w:right w:w="108" w:type="dxa"/>
              <w:bottom w:w="57" w:type="dxa"/>
            </w:tcMar>
            <w:tcW w:w="683" w:type="dxa"/>
            <w:vAlign w:val="center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/</w:t>
            </w:r>
            <w:r/>
          </w:p>
        </w:tc>
      </w:tr>
    </w:tbl>
    <w:p>
      <w:pPr>
        <w:pBdr/>
        <w:shd w:val="nil"/>
        <w:spacing/>
        <w:ind/>
        <w:rPr>
          <w14:ligatures w14:val="none"/>
        </w:rPr>
      </w:pPr>
      <w:r>
        <w:rPr>
          <w:rFonts w:ascii="SimSun" w:hAnsi="SimSun" w:eastAsia="SimSun" w:cs="SimSun"/>
          <w:b/>
          <w:color w:val="000000"/>
          <w:sz w:val="24"/>
        </w:rPr>
        <w:t xml:space="preserve">注：</w:t>
      </w:r>
      <w:r>
        <w:t xml:space="preserve">1、本表及对应的合同扫描件是业绩评分的依据，投标人应根据投标人须知1.4.1评标办法前附表的要求在本表后附相关证明材料。表中所列业绩需与合同扫描件、发票信息对应。</w:t>
      </w:r>
      <w:r/>
    </w:p>
    <w:p>
      <w:pPr>
        <w:pBdr/>
        <w:shd w:val="nil"/>
        <w:spacing/>
        <w:ind/>
        <w:rPr>
          <w14:ligatures w14:val="none"/>
        </w:rPr>
      </w:pPr>
      <w:r>
        <w:t xml:space="preserve">需要将合同扫描件中符合本标段（包）评审产品的金额，用醒目的颜色单独进行框选。合计或小计金额遮挡，导致无法计算有效业绩金额的，此项业绩无效。</w:t>
      </w:r>
      <w:r/>
    </w:p>
    <w:p>
      <w:pPr>
        <w:pBdr/>
        <w:shd w:val="nil"/>
        <w:spacing/>
        <w:ind/>
        <w:rPr>
          <w14:ligatures w14:val="none"/>
        </w:rPr>
      </w:pPr>
      <w:r>
        <w:t xml:space="preserve">投标人须按金额（所提供合同中符合评审产品金额合计）大小依次排序。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SimHei">
    <w:panose1 w:val="02010609000101010101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firstLine="0" w:left="0"/>
      </w:pPr>
      <w:rPr/>
      <w:start w:val="2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2024-07-02T08:21:00Z</dcterms:created>
  <dcterms:modified xsi:type="dcterms:W3CDTF">2024-07-02T08:21:30Z</dcterms:modified>
</cp:coreProperties>
</file>