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本项目设定最高投标限价。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固定单价限价；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预估总价：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含税金额：518.0220万元；含税6%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none"/>
        </w:rPr>
        <w:t xml:space="preserve">服务最高限价明细表：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91"/>
        <w:gridCol w:w="599"/>
        <w:gridCol w:w="1044"/>
        <w:gridCol w:w="816"/>
        <w:gridCol w:w="1190"/>
        <w:gridCol w:w="696"/>
        <w:gridCol w:w="1383"/>
        <w:gridCol w:w="780"/>
        <w:gridCol w:w="1178"/>
        <w:gridCol w:w="117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年度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服务名称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计价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最高投标限价单价（不含税）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税率（%）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最高投标限价单价 （含税）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最高投标限价预估总价（不含税）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最高投标限价预估总价（含税）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气密封检测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元/扣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righ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948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righ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righ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1004.88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righ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4950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righ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4692600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righ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4974156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2024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无压痕套管上扣服务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元/扣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righ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480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righ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righ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508.8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righ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405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righ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194400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righ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206064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>
        <w:rPr>
          <w:rFonts w:ascii="SimSun" w:hAnsi="SimSun" w:eastAsia="SimSun" w:cs="SimSun"/>
          <w:b/>
          <w:color w:val="000000"/>
          <w:sz w:val="21"/>
        </w:rPr>
        <w:t xml:space="preserve">二、报价要求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1. 投标报价应包括为完成标段内工作内容所发生的一切费用。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2. 投标人在报价时应充分考虑各种可变因素和风险。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3. 投标人根据招标文件给定的工作内容，并考虑服务初期及收尾后期直至承包商的义务履行完成的工作量，自行决定各类设施数量及人数。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投标人须严格按照控制价格式要求进行报价，超过最高投标限价的投标将被否决。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投标文件正文中报价与系统中开标一览表中价格不一致的，以投标文件正文中报价为准。 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报价格式如下表：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2024-09-27T06:57:54Z</dcterms:created>
  <dcterms:modified xsi:type="dcterms:W3CDTF">2024-09-27T06:58:37Z</dcterms:modified>
</cp:coreProperties>
</file>