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6"/>
        </w:rPr>
        <w:t xml:space="preserve">2.5</w:t>
      </w:r>
      <w:r>
        <w:rPr>
          <w:rFonts w:ascii="SimSun" w:hAnsi="SimSun" w:eastAsia="SimSun" w:cs="SimSun"/>
          <w:b/>
          <w:color w:val="000000"/>
          <w:sz w:val="32"/>
        </w:rPr>
        <w:t xml:space="preserve">商务条款偏离表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        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44"/>
        <w:gridCol w:w="4569"/>
        <w:gridCol w:w="1329"/>
        <w:gridCol w:w="999"/>
        <w:gridCol w:w="1119"/>
      </w:tblGrid>
      <w:tr>
        <w:trPr>
          <w:trHeight w:val="105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采购文件的商务条款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（实质性要求及重要指标用★标注，★标注项不得负偏离，如果负偏离，则响应文件无效。）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响应文件响应内容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偏离程度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-107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偏离说明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合同期限：3年。经营合同1年1签，合同期满如双方无异议，可续签合同。在经营合同期限内如遇国家政策调整或学校整体搬迁等特殊情况，经营合同自动终止，经营者不得向学校主张任何权利，按学校有关要求及时撤出学校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★最低投放量：两校区投放自助售货机不少于40台。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★投放位置：采购人指定位置。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★经营保证金：成交供应商入驻前向校方支付30000元经营保证金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33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★合同款项支付：合同首次签订后15日内一次性付清租金。次年合同期满如双方无异议，服务商在合同期满前15日内一次性支付下年租金。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08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★1.供应商在招商招租或履约过程中存在下列情形之一的，3年内不得参与学校所有招商招租项目：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（1）捏造事实、提供虚假材料或以其他非法手段骗取成交结果的。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（2）法人为服务商直系亲属或夫妻关系的企业参与同一项目竞标，评审小组认定有串通竞标、恶意扰乱招商招租和评审秩序行为的。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（3）未经合法质疑程序直接提出投诉、举报，经核实其举报失实的。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（4）成交后无正当理由拒不签订合同，影响学校师生正常学习、工作、生活的。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（5）将合同擅自进行转包或分包的。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（6）擅自变更、终止合同的。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（7）合同终止后，拒不依约完成合同清算、退场等义务的。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（8）因履约不力多次引发师生投诉及整改不到位的。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48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（9）有其他违反法律法规的。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3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7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★验收标准：由委托人按相关规定进行验收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  <w:tr>
        <w:trPr>
          <w:trHeight w:val="1106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8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5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hanging="1" w:left="0"/>
              <w:jc w:val="both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其它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2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采购单位未提供需求而供应商认为需说明及补充的内容在此填列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105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填表说明：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1．“响应文件响应内容”一栏由供应商填写。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2．“偏离程度”一栏根据“响应文件响应内容”与采购文件逐项对照的结果填写。偏离必须用 “正偏离、负偏离或无偏离”三个名称中的一种进行标注。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3．“偏离说明”一栏由供应商对偏离的情况做详细说明。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545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供应商名称(加盖单位公章):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法定代表人（或非法人组织负责人）或其授权委托人(签字或盖章):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" w:firstLine="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日            期: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                                                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2024-01-30T01:38:16Z</dcterms:created>
  <dcterms:modified xsi:type="dcterms:W3CDTF">2024-01-30T01:39:16Z</dcterms:modified>
</cp:coreProperties>
</file>