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pacing w:val="6"/>
          <w:sz w:val="30"/>
        </w:rPr>
        <w:t xml:space="preserve">（二）偏差表格式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24"/>
        <w:gridCol w:w="2694"/>
        <w:gridCol w:w="2979"/>
        <w:gridCol w:w="1644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招标文件章节及条款号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投标文件章节及条款号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偏差说明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……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投标人保证：除商务和技术偏差表列出的偏差外，投标人响应招标文件的全部要求。如没有偏差,则在表中填写“无”。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黑体简体">
    <w:panose1 w:val="02000000000000000000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2</cp:revision>
  <dcterms:created xsi:type="dcterms:W3CDTF">2024-10-20T01:16:21Z</dcterms:created>
  <dcterms:modified xsi:type="dcterms:W3CDTF">2024-10-20T08:09:01Z</dcterms:modified>
</cp:coreProperties>
</file>