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投标报价书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根据已收到的</w:t>
      </w:r>
      <w:sdt>
        <w:sdtPr>
          <w:alias w:val="项目名称"/>
          <w15:appearance w15:val="boundingBox"/>
          <w:placeholder>
            <w:docPart w:val="55b035e0e0664c4a8c439c0ce9630ab3"/>
          </w:placeholder>
          <w:tag w:val="项目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none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 </w:t>
          </w:r>
          <w:r>
            <w:rPr>
              <w:rFonts w:ascii="SimSun" w:hAnsi="SimSun" w:eastAsia="SimSun" w:cs="SimSun"/>
              <w:i/>
              <w:color w:val="000000"/>
              <w:sz w:val="21"/>
              <w:u w:val="single"/>
            </w:rPr>
            <w:t xml:space="preserve">（项目名称）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项目（编号：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编号"/>
          <w15:appearance w15:val="boundingBox"/>
          <w:placeholder>
            <w:docPart w:val="a40639ed6f2d4be68ecc762c6c1ee1fc"/>
          </w:placeholder>
          <w:tag w:val="编号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）的招标文件，我单位经研究上述项目招标文件的投标须知、技术规范等有关文件后，我方按上述技术规范和要求条件承包上述项目，我方同意执行招标文件第七章报价要求的规定，在固定单价的基础上，</w:t>
      </w:r>
      <w:r>
        <w:rPr>
          <w:rFonts w:ascii="SimSun" w:hAnsi="SimSun" w:eastAsia="SimSun" w:cs="SimSun"/>
          <w:color w:val="000000"/>
          <w:sz w:val="21"/>
          <w:highlight w:val="white"/>
        </w:rPr>
        <w:t xml:space="preserve">下浮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%</w:t>
      </w:r>
      <w:r>
        <w:rPr>
          <w:rFonts w:ascii="SimSun" w:hAnsi="SimSun" w:eastAsia="SimSun" w:cs="SimSun"/>
          <w:color w:val="000000"/>
          <w:sz w:val="21"/>
        </w:rPr>
        <w:t xml:space="preserve">结算的投标价格报价。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5b035e0e0664c4a8c439c0ce9630a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a40639ed6f2d4be68ecc762c6c1ee1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编号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2024-08-23T06:49:37Z</dcterms:created>
  <dcterms:modified xsi:type="dcterms:W3CDTF">2024-08-23T08:37:46Z</dcterms:modified>
</cp:coreProperties>
</file>