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tLeast"/>
        <w:ind w:right="0" w:firstLine="0" w:left="0"/>
        <w:jc w:val="center"/>
        <w:rPr/>
      </w:pPr>
      <w:r>
        <w:rPr>
          <w:rFonts w:ascii="SimHei" w:hAnsi="SimHei" w:eastAsia="SimHei" w:cs="SimHei"/>
          <w:b/>
          <w:color w:val="000000"/>
          <w:sz w:val="32"/>
          <w:u w:val="none"/>
        </w:rPr>
        <w:t xml:space="preserve">七、资格审查资料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60" w:before="0" w:line="360"/>
        <w:ind w:right="880" w:firstLine="572" w:left="0"/>
        <w:jc w:val="center"/>
        <w:rPr/>
      </w:pPr>
      <w:r>
        <w:rPr>
          <w:rFonts w:ascii="SimHei" w:hAnsi="SimHei" w:eastAsia="SimHei" w:cs="SimHei"/>
          <w:b/>
          <w:color w:val="000000"/>
          <w:sz w:val="30"/>
        </w:rPr>
        <w:t xml:space="preserve">（一）基本情况表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244"/>
        <w:gridCol w:w="990"/>
        <w:gridCol w:w="2523"/>
        <w:gridCol w:w="1185"/>
        <w:gridCol w:w="2412"/>
      </w:tblGrid>
      <w:tr>
        <w:trPr>
          <w:trHeight w:val="4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投标人名称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48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注册资金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成立时间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48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注册地址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48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邮政编码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员工总数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48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48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网址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传真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130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法定代表人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（单位负责人）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190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投标人须知要求投标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人需具有的各类资质</w:t>
            </w:r>
            <w:r>
              <w:rPr>
                <w:rFonts w:ascii="SimSun" w:hAnsi="SimSun" w:eastAsia="SimSun" w:cs="SimSun"/>
                <w:color w:val="000000"/>
                <w:spacing w:val="-102"/>
                <w:sz w:val="22"/>
              </w:rPr>
              <w:t xml:space="preserve"> </w:t>
            </w: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证书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类型：               等级：                证书号：</w:t>
            </w:r>
            <w:r/>
          </w:p>
        </w:tc>
      </w:tr>
      <w:tr>
        <w:trPr>
          <w:trHeight w:val="48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基本账户开户银行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48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基本账户银行账号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48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近三年营业额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24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投标人关联企业情况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（包括但不限于与投标人法定代表人（单位负责人）为同一人或者存在控股、管理关系的不同单位）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48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投标材料制造商名称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94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投标人须知要求投标材料制造商需具有的资质证书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48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备注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2024-07-02T08:20:31Z</dcterms:created>
  <dcterms:modified xsi:type="dcterms:W3CDTF">2024-07-02T08:20:37Z</dcterms:modified>
</cp:coreProperties>
</file>