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312" w:left="0"/>
        <w:jc w:val="center"/>
        <w:rPr/>
      </w:pPr>
      <w:r>
        <w:rPr>
          <w:rFonts w:ascii="方正黑体简体" w:hAnsi="方正黑体简体" w:eastAsia="方正黑体简体" w:cs="方正黑体简体"/>
          <w:b/>
          <w:color w:val="000000"/>
          <w:spacing w:val="6"/>
          <w:sz w:val="30"/>
        </w:rPr>
        <w:t xml:space="preserve">五、商务响应及偏差表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442"/>
        <w:rPr/>
      </w:pPr>
      <w:r>
        <w:rPr>
          <w:rFonts w:ascii="方正黑体简体" w:hAnsi="方正黑体简体" w:eastAsia="方正黑体简体" w:cs="方正黑体简体"/>
          <w:b/>
          <w:color w:val="000000"/>
          <w:spacing w:val="6"/>
          <w:sz w:val="30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4"/>
        <w:gridCol w:w="2694"/>
        <w:gridCol w:w="2979"/>
        <w:gridCol w:w="1644"/>
      </w:tblGrid>
      <w:tr>
        <w:trPr>
          <w:trHeight w:val="45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招标文件章节及条款号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投标文件章节及条款号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方正黑体简体" w:hAnsi="方正黑体简体" w:eastAsia="方正黑体简体" w:cs="方正黑体简体"/>
                <w:color w:val="000000"/>
                <w:spacing w:val="2"/>
                <w:sz w:val="21"/>
              </w:rPr>
              <w:t xml:space="preserve">偏差说明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9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4" w:type="dxa"/>
            <w:vAlign w:val="bottom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jc w:val="center"/>
        <w:rPr/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投标人保证：除商务和技术偏差表列出的偏差外，投标人响应招标文件的全部要求。</w:t>
      </w:r>
      <w:r/>
      <w:r>
        <w:br w:type="page" w:clear="all"/>
      </w:r>
      <w:r/>
      <w:r>
        <w:rPr>
          <w:rFonts w:ascii="SimSun" w:hAnsi="SimSun" w:eastAsia="SimSun" w:cs="SimSun"/>
          <w:sz w:val="21"/>
        </w:rPr>
      </w:r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2024-08-23T06:18:43Z</dcterms:created>
  <dcterms:modified xsi:type="dcterms:W3CDTF">2024-08-23T06:19:51Z</dcterms:modified>
</cp:coreProperties>
</file>