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（采购人或采购代理机构）：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(项目名称)</w:t>
      </w:r>
      <w:r>
        <w:rPr>
          <w:rFonts w:ascii="SimSun" w:hAnsi="SimSun" w:eastAsia="SimSun" w:cs="SimSun"/>
          <w:color w:val="000000"/>
          <w:sz w:val="21"/>
        </w:rPr>
        <w:t xml:space="preserve">项目的招标公告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(招标编号)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(姓名、职务)</w:t>
      </w:r>
      <w:r>
        <w:rPr>
          <w:rFonts w:ascii="SimSun" w:hAnsi="SimSun" w:eastAsia="SimSun" w:cs="SimSun"/>
          <w:color w:val="000000"/>
          <w:sz w:val="21"/>
        </w:rPr>
        <w:t xml:space="preserve">经正式授权并代表投标人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（名称、地址）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人民币元的投标保证金。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本投标有效期为自递交投标文件截止之日起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（6）在领取中标通知书的同时按招标文件规定的形式，向采购代理机构一次性支付采购代理服务费（适用于中标人支付采购代理服务费情形）。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其他事项：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   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2024-08-23T08:41:53Z</dcterms:created>
  <dcterms:modified xsi:type="dcterms:W3CDTF">2024-08-23T08:42:13Z</dcterms:modified>
</cp:coreProperties>
</file>