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52"/>
        </w:rPr>
        <w:t xml:space="preserve">二轮报价表</w:t>
      </w:r>
      <w:r/>
    </w:p>
    <w:p>
      <w:pPr>
        <w:pBdr>
          <w:top w:val="none" w:color="000000" w:sz="4" w:space="0"/>
          <w:left w:val="none" w:color="000000" w:sz="4" w:space="0"/>
          <w:bottom w:val="none" w:color="000000" w:sz="4" w:space="0"/>
          <w:right w:val="none" w:color="000000" w:sz="4" w:space="0"/>
        </w:pBdr>
        <w:spacing w:line="360"/>
        <w:ind w:right="0" w:hanging="142" w:left="0"/>
        <w:rPr/>
      </w:pPr>
      <w:r>
        <w:rPr>
          <w:rFonts w:ascii="FangSong" w:hAnsi="FangSong" w:eastAsia="FangSong" w:cs="FangSong"/>
          <w:color w:val="000000"/>
          <w:sz w:val="24"/>
        </w:rPr>
        <w:t xml:space="preserve">项目名称：</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ind w:right="0" w:hanging="142" w:left="0"/>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ind w:right="0" w:hanging="142" w:left="0"/>
        <w:rPr/>
      </w:pPr>
      <w:r>
        <w:rPr>
          <w:rFonts w:ascii="FangSong" w:hAnsi="FangSong" w:eastAsia="FangSong" w:cs="FangSong"/>
          <w:color w:val="000000"/>
          <w:sz w:val="24"/>
        </w:rPr>
        <w:t xml:space="preserve">投标人名称：</w:t>
      </w:r>
      <w:r>
        <w:rPr>
          <w:rFonts w:ascii="FangSong" w:hAnsi="FangSong" w:eastAsia="FangSong" w:cs="FangSong"/>
          <w:color w:val="000000"/>
          <w:sz w:val="24"/>
          <w:u w:val="single"/>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54"/>
        <w:gridCol w:w="4584"/>
        <w:gridCol w:w="1744"/>
        <w:gridCol w:w="1372"/>
        <w:gridCol w:w="1000"/>
      </w:tblGrid>
      <w:tr>
        <w:trPr>
          <w:trHeight w:val="680"/>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08" w:left="108"/>
              <w:jc w:val="center"/>
              <w:rPr/>
            </w:pPr>
            <w:r>
              <w:rPr>
                <w:rFonts w:ascii="FangSong" w:hAnsi="FangSong" w:eastAsia="FangSong" w:cs="FangSong"/>
                <w:b/>
                <w:color w:val="000000"/>
                <w:sz w:val="24"/>
              </w:rPr>
              <w:t xml:space="preserve">序号</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项目名称</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报价折扣</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投标保证金</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备注</w:t>
            </w:r>
            <w:r/>
          </w:p>
        </w:tc>
      </w:tr>
      <w:tr>
        <w:trPr>
          <w:trHeight w:val="10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人保财险盘锦市分公司2025年春节福利采购项目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已递交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b/>
          <w:color w:val="000000"/>
          <w:sz w:val="21"/>
        </w:rPr>
        <w:t xml:space="preserve">注：</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1、最高限价：100%，超过最高限价的投标将被否决。</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2、★报价基准价参考标准：投标人本项目公告发布所在周首个工作日以盘锦市兴隆台区大润发超市，地址：盘锦市兴隆台区泰山北路75号的价格零售价作为参考的基准价进行报价折扣。报价需考虑全年市场价格的变化综合报价。</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3、中标后基准价确定方式：盘锦市兴隆台区大润发超市，地址：盘锦市兴隆台区泰山北路75号的价格零售价为基准价，如存在超市无法采购的食材，供货商与甲方沟通后按当地其他市场价格协商确定基准价。</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4、供应商应充分考虑各种风险后作出报价，供应商提交的最后报价,在合同履行过程中是固定不变的，不得以任何理由予以变更。任何包含价格调整要求的响应，其应答文件将被认定为无效响应。</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供应商：</w:t>
      </w:r>
      <w:r>
        <w:rPr>
          <w:rFonts w:ascii="FangSong" w:hAnsi="FangSong" w:eastAsia="FangSong" w:cs="FangSong"/>
          <w:color w:val="000000"/>
          <w:sz w:val="24"/>
          <w:u w:val="single"/>
        </w:rPr>
        <w:t xml:space="preserve">          （加盖公章） </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法定代表人或其授权代理人：</w:t>
      </w:r>
      <w:r>
        <w:rPr>
          <w:rFonts w:ascii="FangSong" w:hAnsi="FangSong" w:eastAsia="FangSong" w:cs="FangSong"/>
          <w:color w:val="000000"/>
          <w:sz w:val="24"/>
          <w:u w:val="single"/>
        </w:rPr>
        <w:t xml:space="preserve">    （签字） </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年       月       日</w:t>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p>
    <w:p>
      <w:pPr>
        <w:pBdr/>
        <w:spacing/>
        <w:ind/>
        <w:rPr/>
      </w:pPr>
      <w:r>
        <w:rPr>
          <w:rFonts w:ascii="FangSong" w:hAnsi="FangSong" w:eastAsia="FangSong" w:cs="FangSong"/>
          <w:color w:val="000000"/>
          <w:sz w:val="24"/>
          <w:u w:val="single"/>
        </w:rPr>
        <w:t xml:space="preserve"> </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2025-01-20T01:59:41Z</dcterms:created>
  <dcterms:modified xsi:type="dcterms:W3CDTF">2025-01-20T02:00:10Z</dcterms:modified>
</cp:coreProperties>
</file>