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方正小标宋简体" w:hAnsi="方正小标宋简体" w:eastAsia="方正小标宋简体" w:cs="方正小标宋简体"/>
          <w:color w:val="000000"/>
          <w:spacing w:val="6"/>
          <w:sz w:val="21"/>
          <w:u w:val="single"/>
        </w:rPr>
        <w:t xml:space="preserve">中国石油冀东油田公司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8"/>
        </w:tabs>
        <w:spacing w:line="315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（项目名称）服务招标项目招标文件的全部内容，愿意以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见开标一览表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进行报价；服务服务期限：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详见开标一览表 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，按合同约定完成服务工作。投标保证金：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详见开标一览表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详见开标一览表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），投标保证金形式：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详见开标一览表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（5）服务费用清单（如有）；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（7）服务方案；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（其他补充说明。）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法人代表人或其委托代理人：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网址：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975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手机：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551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Calibri" w:hAnsi="Calibri" w:eastAsia="Calibri" w:cs="Calibri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Symbol">
    <w:panose1 w:val="05010000000000000000"/>
  </w:font>
  <w:font w:name="Wingdings">
    <w:panose1 w:val="05010000000000000000"/>
  </w:font>
  <w:font w:name="方正小标宋简体">
    <w:panose1 w:val="02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2025-02-21T01:40:57Z</dcterms:created>
  <dcterms:modified xsi:type="dcterms:W3CDTF">2025-02-21T01:42:03Z</dcterms:modified>
</cp:coreProperties>
</file>